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0D3349"/>
          <w:sz w:val="52"/>
          <w:szCs w:val="52"/>
        </w:rPr>
        <w:t xml:space="preserve">Anomaly Upload Validator</w:t>
      </w:r>
    </w:p>
    <w:p>
      <w:pPr>
        <w:spacing w:after="80" w:before="0"/>
      </w:pPr>
      <w:r>
        <w:rPr>
          <w:rFonts w:ascii="Arial" w:cs="Arial" w:eastAsia="Arial" w:hAnsi="Arial"/>
          <w:color w:val="00A97F"/>
          <w:sz w:val="32"/>
          <w:szCs w:val="32"/>
        </w:rPr>
        <w:t xml:space="preserve">User Stories &amp; Acceptance Criteria</w:t>
      </w:r>
    </w:p>
    <w:p>
      <w:pPr>
        <w:pBdr>
          <w:bottom w:val="single" w:color="00A97F" w:sz="6" w:space="4"/>
        </w:pBdr>
        <w:spacing w:after="240" w:before="0"/>
      </w:pPr>
      <w:r>
        <w:rPr>
          <w:rFonts w:ascii="Arial" w:cs="Arial" w:eastAsia="Arial" w:hAnsi="Arial"/>
          <w:color w:val="4A5568"/>
          <w:sz w:val="18"/>
          <w:szCs w:val="18"/>
        </w:rPr>
        <w:t xml:space="preserve">the organization  ·  Internal Tool  ·  v2.1  ·  May 2026</w:t>
      </w:r>
    </w:p>
    <w:p>
      <w:pPr>
        <w:pStyle w:val="Heading2"/>
        <w:pBdr>
          <w:bottom w:val="single" w:color="00A97F" w:sz="4" w:space="4"/>
        </w:pBdr>
        <w:spacing w:after="80" w:before="320"/>
      </w:pPr>
      <w:r>
        <w:rPr>
          <w:rFonts w:ascii="Arial" w:cs="Arial" w:eastAsia="Arial" w:hAnsi="Arial"/>
          <w:b/>
          <w:bCs/>
          <w:color w:val="1B5E8A"/>
          <w:sz w:val="26"/>
          <w:szCs w:val="26"/>
        </w:rPr>
        <w:t xml:space="preserve">Overview</w:t>
      </w:r>
    </w:p>
    <w:p>
      <w:pPr>
        <w:spacing w:after="60" w:before="60"/>
      </w:pPr>
      <w:r>
        <w:rPr>
          <w:rFonts w:ascii="Arial" w:cs="Arial" w:eastAsia="Arial" w:hAnsi="Arial"/>
          <w:color w:val="1A1A1A"/>
          <w:sz w:val="20"/>
          <w:szCs w:val="20"/>
        </w:rPr>
        <w:t xml:space="preserve">This document contains the user stories and acceptance criteria for the Anomaly Upload Validator. Stories are organized by epic and reflect the delivered functionality as of v2.1. Each story follows the standard format: "As a [persona], I want [capability], so that [outcome]." Acceptance criteria are written as testable, unambiguous conditions.</w:t>
      </w:r>
    </w:p>
    <w:p>
      <w:pPr>
        <w:spacing w:after="0" w:before="0"/>
      </w:pPr>
      <w:r>
        <w:t xml:space="preserve"/>
      </w:r>
    </w:p>
    <w:p>
      <w:pPr>
        <w:pStyle w:val="Heading2"/>
        <w:pBdr>
          <w:bottom w:val="single" w:color="00A97F" w:sz="4" w:space="4"/>
        </w:pBdr>
        <w:spacing w:after="80" w:before="320"/>
      </w:pPr>
      <w:r>
        <w:rPr>
          <w:rFonts w:ascii="Arial" w:cs="Arial" w:eastAsia="Arial" w:hAnsi="Arial"/>
          <w:b/>
          <w:bCs/>
          <w:color w:val="1B5E8A"/>
          <w:sz w:val="26"/>
          <w:szCs w:val="26"/>
        </w:rPr>
        <w:t xml:space="preserve">Story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1800"/>
        <w:gridCol w:w="1800"/>
        <w:gridCol w:w="2160"/>
      </w:tblGrid>
      <w:tr>
        <w:trPr>
          <w:tblHeader/>
        </w:trPr>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Epic</w:t>
            </w:r>
          </w:p>
        </w:tc>
        <w:tc>
          <w:tcPr>
            <w:tcW w:type="dxa" w:w="22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Name</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Stories</w:t>
            </w:r>
          </w:p>
        </w:tc>
        <w:tc>
          <w:tcPr>
            <w:tcW w:type="dxa" w:w="18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Version</w:t>
            </w:r>
          </w:p>
        </w:tc>
        <w:tc>
          <w:tcPr>
            <w:tcW w:type="dxa" w:w="21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Status</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0891B2"/>
                <w:sz w:val="18"/>
                <w:szCs w:val="18"/>
              </w:rPr>
              <w:t xml:space="preserve">EP-01</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File Ingestion</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2 stories</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v1.0</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EP-02</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Validation</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4 stories</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v1.0–v1.2</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6B46C1"/>
                <w:sz w:val="18"/>
                <w:szCs w:val="18"/>
              </w:rPr>
              <w:t xml:space="preserve">EP-03</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Status &amp; Compliance</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3 stories</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v1.1–v1.2</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EP-04</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Conversion Engine</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4 stories</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v2.0–v2.1</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EA580C"/>
                <w:sz w:val="18"/>
                <w:szCs w:val="18"/>
              </w:rPr>
              <w:t xml:space="preserve">EP-05</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Manual Review Resolution</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2 stories</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v2.0</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EP-06</w:t>
            </w:r>
          </w:p>
        </w:tc>
        <w:tc>
          <w:tcPr>
            <w:tcW w:type="dxa" w:w="2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Results Dashboard</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2 stories</w:t>
            </w:r>
          </w:p>
        </w:tc>
        <w:tc>
          <w:tcPr>
            <w:tcW w:type="dxa" w:w="18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v1.0–v2.0</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00A97F"/>
                <w:sz w:val="18"/>
                <w:szCs w:val="18"/>
              </w:rPr>
              <w:t xml:space="preserve">EP-07</w:t>
            </w:r>
          </w:p>
        </w:tc>
        <w:tc>
          <w:tcPr>
            <w:tcW w:type="dxa" w:w="2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Export</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3 stories</w:t>
            </w:r>
          </w:p>
        </w:tc>
        <w:tc>
          <w:tcPr>
            <w:tcW w:type="dxa" w:w="18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v1.0–v2.0</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Done</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0891B2"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EP-01</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0891B2"/>
                <w:sz w:val="22"/>
                <w:szCs w:val="22"/>
              </w:rPr>
              <w:t xml:space="preserve">File Ingestion</w:t>
            </w:r>
          </w:p>
          <w:p>
            <w:pPr>
              <w:spacing w:before="40"/>
            </w:pPr>
            <w:r>
              <w:rPr>
                <w:rFonts w:ascii="Arial" w:cs="Arial" w:eastAsia="Arial" w:hAnsi="Arial"/>
                <w:color w:val="4A5568"/>
                <w:sz w:val="18"/>
                <w:szCs w:val="18"/>
              </w:rPr>
              <w:t xml:space="preserve">Uploading raw source platform exports into the tool</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US-01</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Upload a dataset file</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upload a CSV or XLSX file by dragging it into the tool or browsing for it, so that I can begin validating a dataset without needing any technical setup.</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Tool accepts .csv, .xlsx, and .xls file formats.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User can drag and drop a file onto the designated drop zone.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User can alternatively click the drop zone to open a file browser.</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On successful load, the filename and total data row count are displayed.</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the file is empty or cannot be parsed, a clear error message is shown and no validation runs.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No file data is transmitted to any external server at any point.</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US-02</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Have column names normalized automatically</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automatically handle common column name variations in source platform exports, so that I don't have to manually rename columns before uploading.</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"Date" is treated as "Inspection Date".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"Blade Chamber" is treated as "BladeChamber".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"Chord (%)" is treated as "Chord(%)".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"Turbine Serial Number" is treated as "Serial Number".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"Links" is treated as "Source Images".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Unrecognized column names are passed through unchanged and do not cause errors.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AC-07</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Normalisation is applied silently — no notification shown to the user.</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Alias map is defined as a named constant in the tool script. Engineering can extend it without touching validation logic.</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1B5E8A"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EP-02</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1B5E8A"/>
                <w:sz w:val="22"/>
                <w:szCs w:val="22"/>
              </w:rPr>
              <w:t xml:space="preserve">Validation</w:t>
            </w:r>
          </w:p>
          <w:p>
            <w:pPr>
              <w:spacing w:before="40"/>
            </w:pPr>
            <w:r>
              <w:rPr>
                <w:rFonts w:ascii="Arial" w:cs="Arial" w:eastAsia="Arial" w:hAnsi="Arial"/>
                <w:color w:val="4A5568"/>
                <w:sz w:val="18"/>
                <w:szCs w:val="18"/>
              </w:rPr>
              <w:t xml:space="preserve">Checking datasets against the the Internal Platform upload specification</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US-03</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which required columns are missing</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tell me which required columns are missing from my dataset, so that I can fix the file before attempting an upload.</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Tool checks for all 18 required column headers after alias normalisation.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Missing required columns are displayed as individual cards showing field name and description.</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Missing conditional columns (Serial Number, BladeChamber, Chord(%), Recommendation) are shown separately as informational — they do not block the export.</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Column name matching is case-sensitive.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Missing column cards appear before the row-level issues table.</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US-04</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which rows have field errors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see exactly which rows have missing or incorrectly formatted required fields, so that I know what needs to be fixed before the dataset can be uploaded.</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Every data row is validated against all required field rules after column normalisation and conversion.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Each issue is shown in a table with: Row number, Anomaly ID, Field name, Status badge, and detail message.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Severity must be an integer between 1 and 5 inclusive. Any other value raises an Error.</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Critical must be "Yes" or "No" (case-insensitive). Any other value raises an Error.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Inspection Date must match YYYY-MM-DD format exactly. Any other format raises an Error.</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Damage Location must be "Internal" or "External" (case-insensitive). Any other value raises an Error.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AC-07</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Distance (m), Length (m), Width (m) must be numeric values. Non-numeric values raise an Error.</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AC-08</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Coordinates must contain at least three [x,y] bracketed pairs. Fewer than three raises an Error.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AC-09</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Empty required fields raise an Error, except for Asset and Coordinates (see US-06).</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US-05</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Validate Blade Side using full descriptive names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accept both abbreviated codes and full descriptive names for Blade Side values, so that datasets using either naming convention pass validation without manual editing.</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"PS" and "Pressure Side" are both accepted as valid Blade Side values.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"SS" and "Suction Side" are both accepted as valid Blade Side values.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"LE" and "Leading Edge" are both accepted as valid Blade Side values.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"TE" and "Trailing Edge" are both accepted as valid Blade Side values.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Matching is case-insensitive.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Any value not in the above list raises an Error.</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Expanded in v1.2. Original v1.0 behavior accepted two-character codes only.</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v1.2</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US-06</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conditional field warnings separately from hard errors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Engineering / Data Lead</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Engineering / Data Lead, I want conditional field format issues to appear as Warnings rather than Errors, so that they don't inflate the error count or block the export for issues that won't actually fail the upload.</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Conditional fields (BladeChamber, Chord(%), Recommendation) are validated for format only when they are present and populated.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Format violations in conditional fields raise a Warning status — not an Error.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Warning rows are included in the issues table but excluded from the Error count.</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Serial Number is fully optional — no flag of any kind is raised whether the field is absent, empty, or populated.</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Warnings do not block the Export Converted XLSX button.</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Serial Number demoted from Required to Conditional in v1.2.</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v1.2</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6B46C1"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EP-03</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6B46C1"/>
                <w:sz w:val="22"/>
                <w:szCs w:val="22"/>
              </w:rPr>
              <w:t xml:space="preserve">Status &amp; Compliance</w:t>
            </w:r>
          </w:p>
          <w:p>
            <w:pPr>
              <w:spacing w:before="40"/>
            </w:pPr>
            <w:r>
              <w:rPr>
                <w:rFonts w:ascii="Arial" w:cs="Arial" w:eastAsia="Arial" w:hAnsi="Arial"/>
                <w:color w:val="4A5568"/>
                <w:sz w:val="18"/>
                <w:szCs w:val="18"/>
              </w:rPr>
              <w:t xml:space="preserve">Understanding dataset health at a glance</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US-07</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an overall compliance score</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Operations Manager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an Operations Manager, I want to see a single compliance score for the dataset, so that I can quickly understand its overall readiness for upload without reviewing every row.</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Compliance score is displayed as a percentage.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Score = clean rows / (total rows − check-internally rows) × 100.</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Check Internally rows are excluded from the denominator because they may be valid.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Score bar is green when ≥80%, amber when 50–79%, red when &lt;50%.</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Score updates automatically after each Manual Review resolution.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 note beneath the score label indicates that Check Internally rows are excluded.</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v1.1</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US-08</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Distinguish between hard errors and check-internally flags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empty Asset and Coordinates fields to be flagged differently from hard errors, so that I'm not penalised for information that may already exist in our internal records.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When the Asset field is empty, the row is flagged as "Check Internally" (blue) — not as an Error.</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When the Coordinates field is empty, the row is flagged as "Check Internally" (blue) — not as an Error.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Check Internally rows are counted in a dedicated summary card.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Check Internally rows are excluded from the compliance score denominator.</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The issues table includes a "Check Internally" filter tab.</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Check Internally rows do not block the Export Converted XLSX button.</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v1.1</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US-09</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Filter the issues table by status type</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filter the issues table by status type, so that I can focus on one category of issue at a time without being distracted by other rows.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Issues table includes five filter tabs: All, Errors, Manual Review, Check Internally, Warnings.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"All" tab is selected by default on load.</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Selecting a tab hides rows that do not match that status.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"Manual Review" filter shows both unresolved Manual Review rows and Resolved rows.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Active tab is visually highlighted.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Filter state does not affect the compliance score or export.</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27AE60"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EP-04</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27AE60"/>
                <w:sz w:val="22"/>
                <w:szCs w:val="22"/>
              </w:rPr>
              <w:t xml:space="preserve">Conversion Engine</w:t>
            </w:r>
          </w:p>
          <w:p>
            <w:pPr>
              <w:spacing w:before="40"/>
            </w:pPr>
            <w:r>
              <w:rPr>
                <w:rFonts w:ascii="Arial" w:cs="Arial" w:eastAsia="Arial" w:hAnsi="Arial"/>
                <w:color w:val="4A5568"/>
                <w:sz w:val="18"/>
                <w:szCs w:val="18"/>
              </w:rPr>
              <w:t xml:space="preserve">Transforming the Source Platform field values across three nomenclature systems</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US-10</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Have Element values derived and converted automatically</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automatically build the Input Component value from the raw data columns and look up its the organization and the OEM equivalents, so that I don't have to manually apply conversion formulas.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a Material column is present and non-empty, Input Component = Component + " - " + Material.</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If Material is absent or empty but an Element column is present and non-empty, Input Component = Component + " - " + Element.</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neither suffix column is present or populated, Input Component = Component alone.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Concatenation uses a LEN()=0 guard — not ISBLANK() — to correctly handle empty-string cells.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the Input Component value is found in the conversion table, the organization Element and the OEM Element are populated from columns B and C respectively.</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If the Input Component value is not found in the conversion table, both the organization Element and the OEM Element show "MANUAL REVIEW: [original value]" and the row is flagged for resolution.</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Multi-format support (Material vs Element column fallback) added in v2.1. ISBLANK→LEN fix also applied in v2.1.</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 / v2.1</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US-11</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Have Anomaly Type values derived and converted automatically</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automatically build the Input Damage Type value and look up its the organization and the OEM equivalents, so that damage type conversion happens without any manual steps.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a Type column is present, Input Damage Type uses the Type column as the base value.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If Type is absent but an Anomaly Type column is present, Input Damage Type uses the Anomaly Type column as the base value.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Subtype is present and non-empty, Input Damage Type = base value + " - " + Subtype.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If Subtype is absent or empty, Input Damage Type = base value alone (no trailing " - ").</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Concatenation uses a LEN()=0 guard — not ISBLANK().</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If Input Damage Type is found in the conversion table, the organization Anomaly Type and the OEM Anomaly Type are populated.</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AC-07</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not found, both columns show "MANUAL REVIEW: [original value]" and the row is flagged.</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Type vs Anomaly Type column fallback added in v2.1. Fixes "Crack - " trailing dash bug caused by ISBLANK on empty Subtype.</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 / v2.1</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US-12</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Have Blade Side values translated automatically</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Blade Side values to be translated to the organization and the OEM equivalents automatically, so that Leeward/Windward values from the Source Platform are correctly mapped without manual intervention.</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"Suction Side" maps to "Suction Side" (the organization) and "Leeward" (the OEM).</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"Pressure Side" maps to "Pressure Side" (the organization) and "Windward" (the OEM).</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"Leading Edge" maps to "Leading Edge" (the organization) and "Leading Edge" (the OEM).</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"Trailing Edge" maps to "Trailing Edge" (the organization) and "Trailing Edge" (the OEM).</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Values not found in the Blade Side conversion table are flagged as Manual Review.</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US-13</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Process datasets from multiple source platform export formats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tool to correctly process datasets from different clients even when the column structure varies, so that I don't have to manually reformat files before uploading.</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Dataset A format (Component + Material columns) is processed correctly.</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Dataset B format (Component + Element columns) is processed correctly.</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Dataset A format (Type + Subtype columns) is processed correctly.</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Dataset B format (Anomaly Type + Subtype columns) is processed correctly.</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"Blade A" in Dataset B Blade column is normalized to "A".</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Blade letter is extracted from Asset column when Blade column is empty.</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AC-07</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Format detection is automatic — no user configuration required.</w:t>
            </w:r>
          </w:p>
        </w:tc>
      </w:tr>
      <w:tr>
        <w:tc>
          <w:tcPr>
            <w:tcW w:type="dxa" w:w="1200"/>
            <w:tcBorders>
              <w:top w:val="single" w:color="D0D7DE" w:sz="1"/>
              <w:left w:val="none" w:color="FFFFFF" w:sz="0"/>
              <w:bottom w:val="none" w:color="FFFFFF" w:sz="0"/>
              <w:right w:val="none" w:color="FFFFFF" w:sz="0"/>
            </w:tcBorders>
            <w:shd w:fill="FFF9EC" w:val="clear"/>
            <w:tcMar>
              <w:top w:type="dxa" w:w="80"/>
              <w:left w:type="dxa" w:w="160"/>
              <w:bottom w:type="dxa" w:w="80"/>
              <w:right w:type="dxa" w:w="80"/>
            </w:tcMar>
          </w:tcPr>
          <w:p>
            <w:r>
              <w:rPr>
                <w:rFonts w:ascii="Arial" w:cs="Arial" w:eastAsia="Arial" w:hAnsi="Arial"/>
                <w:b/>
                <w:bCs/>
                <w:color w:val="F5A623"/>
                <w:sz w:val="17"/>
                <w:szCs w:val="17"/>
              </w:rPr>
              <w:t xml:space="preserve">Notes</w:t>
            </w:r>
          </w:p>
        </w:tc>
        <w:tc>
          <w:tcPr>
            <w:tcW w:type="dxa" w:w="8160"/>
            <w:gridSpan w:val="3"/>
            <w:tcBorders>
              <w:top w:val="single" w:color="D0D7DE" w:sz="1"/>
              <w:left w:val="none" w:color="FFFFFF" w:sz="0"/>
              <w:bottom w:val="none" w:color="FFFFFF" w:sz="0"/>
              <w:right w:val="none" w:color="FFFFFF" w:sz="0"/>
            </w:tcBorders>
            <w:shd w:fill="FFF9EC" w:val="clear"/>
            <w:tcMar>
              <w:top w:type="dxa" w:w="80"/>
              <w:left w:type="dxa" w:w="80"/>
              <w:bottom w:type="dxa" w:w="80"/>
              <w:right w:type="dxa" w:w="80"/>
            </w:tcMar>
          </w:tcPr>
          <w:p>
            <w:r>
              <w:rPr>
                <w:rFonts w:ascii="Arial" w:cs="Arial" w:eastAsia="Arial" w:hAnsi="Arial"/>
                <w:color w:val="1A1A1A"/>
                <w:sz w:val="18"/>
                <w:szCs w:val="18"/>
              </w:rPr>
              <w:t xml:space="preserve">Added in v2.1 following Dataset B dataset testing.</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v2.1</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EA580C"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EP-05</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EA580C"/>
                <w:sz w:val="22"/>
                <w:szCs w:val="22"/>
              </w:rPr>
              <w:t xml:space="preserve">Manual Review Resolution</w:t>
            </w:r>
          </w:p>
          <w:p>
            <w:pPr>
              <w:spacing w:before="40"/>
            </w:pPr>
            <w:r>
              <w:rPr>
                <w:rFonts w:ascii="Arial" w:cs="Arial" w:eastAsia="Arial" w:hAnsi="Arial"/>
                <w:color w:val="4A5568"/>
                <w:sz w:val="18"/>
                <w:szCs w:val="18"/>
              </w:rPr>
              <w:t xml:space="preserve">Human-in-the-loop handling of unmatched conversion values</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US-14</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Resolve unmatched conversion values inline</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resolve Manual Review flags directly in the tool using a dropdown, so that I can correct unmatched values without leaving the browser or editing the source file.</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Each Manual Review row displays the original unmatched value.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 dropdown presents all valid the organization platform values for the affected field (Element, Anomaly Type, or Blade Side).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On selection, the row status immediately updates to "Resolved" with a green badge.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The resolved value is applied to the converted dataset in memory — the correct value will appear in the exported XLSX.</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A progress counter below the export button shows "X / Y manual reviews resolved".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Resolved rows remain visible in the issues table under the Manual Review filter tab.</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US-15</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Be prevented from exporting until all Manual Reviews are resolved</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the Export Converted XLSX button to be locked until all Manual Review flags are resolved, so that I can't accidentally export a file with "MANUAL REVIEW:" strings in the converted columns.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Export Converted XLSX button is disabled on initial load.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Export Converted XLSX button remains disabled while any Manual Review rows are unresolved.</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Button enables automatically when the resolved count equals the total Manual Review count.</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When all resolved, counter text updates to "All X resolved — ready to export" in green.</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If there are zero Manual Review rows, Export Converted XLSX button is enabled immediately after validation.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Export Validation Report CSV button is always available once validation has run — it is not blocked by Manual Reviews.</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1B5E8A"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EP-06</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1B5E8A"/>
                <w:sz w:val="22"/>
                <w:szCs w:val="22"/>
              </w:rPr>
              <w:t xml:space="preserve">Results Dashboard</w:t>
            </w:r>
          </w:p>
          <w:p>
            <w:pPr>
              <w:spacing w:before="40"/>
            </w:pPr>
            <w:r>
              <w:rPr>
                <w:rFonts w:ascii="Arial" w:cs="Arial" w:eastAsia="Arial" w:hAnsi="Arial"/>
                <w:color w:val="4A5568"/>
                <w:sz w:val="18"/>
                <w:szCs w:val="18"/>
              </w:rPr>
              <w:t xml:space="preserve">Operational visibility into dataset health and content</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US-16</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a summary of dataset statistics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Operations Manager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an Operations Manager, I want to see a summary of the dataset's content alongside the validation results, so that I can confirm the scope of data being processed without opening the source file.</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Total anomaly count (data rows excluding header) is displayed.</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Unique turbine count is displayed (distinct values in the Turbine column).</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Total site count is displayed (distinct values in the Site column).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 per-site breakdown table shows: Site name, Anomaly count, Unique turbine count for each site.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Site breakdown table is sorted by anomaly count descending.</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These stats are derived from the raw source data before conversion.</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US-17</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See conversion statistics alongside validation results</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see how many fields were auto-converted and how many need manual review at a glance, so that I know immediately how much work is required before I can export.</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A "Fields Auto-Converted" card shows the total count of fields successfully matched in the conversion tables.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 "Rows Need Manual Review" card shows the count of rows with at least one unresolved Manual Review flag.</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Both cards are displayed immediately after validation completes.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Auto-conversion count does not include rows later resolved via dropdown — it reflects only automatic matches.</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Both counts update if the page is reset and a new file is validated.</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w:tc>
          <w:tcPr>
            <w:tcW w:type="dxa" w:w="1600"/>
            <w:tcBorders>
              <w:top w:val="none" w:color="FFFFFF" w:sz="0"/>
              <w:left w:val="none" w:color="FFFFFF" w:sz="0"/>
              <w:bottom w:val="none" w:color="FFFFFF" w:sz="0"/>
              <w:right w:val="none" w:color="FFFFFF" w:sz="0"/>
            </w:tcBorders>
            <w:shd w:fill="00A97F" w:val="clear"/>
            <w:tcMar>
              <w:top w:type="dxa" w:w="120"/>
              <w:left w:type="dxa" w:w="180"/>
              <w:bottom w:type="dxa" w:w="120"/>
              <w:right w:type="dxa" w:w="180"/>
            </w:tcMar>
            <w:vAlign w:val="center"/>
          </w:tcPr>
          <w:p>
            <w:r>
              <w:rPr>
                <w:rFonts w:ascii="Arial" w:cs="Arial" w:eastAsia="Arial" w:hAnsi="Arial"/>
                <w:b/>
                <w:bCs/>
                <w:color w:val="FFFFFF"/>
                <w:sz w:val="18"/>
                <w:szCs w:val="18"/>
              </w:rPr>
              <w:t xml:space="preserve">EP-07</w:t>
            </w:r>
          </w:p>
          <w:p>
            <w:r>
              <w:rPr>
                <w:rFonts w:ascii="Arial" w:cs="Arial" w:eastAsia="Arial" w:hAnsi="Arial"/>
                <w:color w:val="CCDDDD"/>
                <w:sz w:val="14"/>
                <w:szCs w:val="14"/>
              </w:rPr>
              <w:t xml:space="preserve">EPIC</w:t>
            </w:r>
          </w:p>
        </w:tc>
        <w:tc>
          <w:tcPr>
            <w:tcW w:type="dxa" w:w="7760"/>
            <w:tcBorders>
              <w:top w:val="none" w:color="FFFFFF" w:sz="0"/>
              <w:left w:val="none" w:color="FFFFFF" w:sz="0"/>
              <w:bottom w:val="none" w:color="FFFFFF" w:sz="0"/>
              <w:right w:val="none" w:color="FFFFFF" w:sz="0"/>
            </w:tcBorders>
            <w:shd w:fill="F0F8F6" w:val="clear"/>
            <w:tcMar>
              <w:top w:type="dxa" w:w="120"/>
              <w:left w:type="dxa" w:w="180"/>
              <w:bottom w:type="dxa" w:w="120"/>
              <w:right w:type="dxa" w:w="180"/>
            </w:tcMar>
          </w:tcPr>
          <w:p>
            <w:r>
              <w:rPr>
                <w:rFonts w:ascii="Arial" w:cs="Arial" w:eastAsia="Arial" w:hAnsi="Arial"/>
                <w:b/>
                <w:bCs/>
                <w:color w:val="00A97F"/>
                <w:sz w:val="22"/>
                <w:szCs w:val="22"/>
              </w:rPr>
              <w:t xml:space="preserve">Export</w:t>
            </w:r>
          </w:p>
          <w:p>
            <w:pPr>
              <w:spacing w:before="40"/>
            </w:pPr>
            <w:r>
              <w:rPr>
                <w:rFonts w:ascii="Arial" w:cs="Arial" w:eastAsia="Arial" w:hAnsi="Arial"/>
                <w:color w:val="4A5568"/>
                <w:sz w:val="18"/>
                <w:szCs w:val="18"/>
              </w:rPr>
              <w:t xml:space="preserve">Producing outputs for upload and internal records</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US-18</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Export a validation issues report</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download a CSV report of all validation issues, so that I can share it with the data team or keep it as a record of what was checked.</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Export Validation Report button is available after validation has run.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Report is a CSV file with columns: Row Number, Anomaly ID, Field, Status, Detail.</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Status column uses labels: Error, Manual Review, Check Internally, Warning.</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File is named with the format "validation_report_YYYY-MM-DD.csv".</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Report includes all issues regardless of current filter tab selection.</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Rows with no issues are not included in the report.</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v1.0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US-19</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Export a converted XLSX working document</w:t>
            </w:r>
          </w:p>
        </w:tc>
        <w:tc>
          <w:tcPr>
            <w:tcW w:type="dxa" w:w="1400"/>
            <w:tcBorders>
              <w:top w:val="none" w:color="FFFFFF" w:sz="0"/>
              <w:left w:val="none" w:color="FFFFFF" w:sz="0"/>
              <w:bottom w:val="none" w:color="FFFFFF" w:sz="0"/>
              <w:right w:val="none" w:color="FFFFFF" w:sz="0"/>
            </w:tcBorders>
            <w:shd w:fill="1B5E8A"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Must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Data Coordinator</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Data Coordinator, I want to download a formatted XLSX file with all three nomenclature columns populated, so that I have a working document ready for the Internal Platform upload and the Output Platform submission.</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Exported XLSX contains two tabs: "Damages Report" and "Conversions".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"Damages Report" tab matches the column order of the approved amended Dataset A file exactly.</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Derived columns (Input Component, Element columns, Damage Type columns, Blade Side columns) use live VLOOKUP formulas referencing the Conversions tab — not hardcoded values.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VLOOKUP formulas use LEN()=0 guards to handle empty-string cells correctly.</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Resolved Manual Review values are written as static values in the output (not formulas).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Output filename incorporates the source filename and export date.</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AC-07</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Exported file header row is frozen at row 1.</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AC-08</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Column widths are set to match the reference file layout.</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tbl>
      <w:tblPr>
        <w:tblW w:type="dxa" w:w="9360"/>
        <w:tblBorders>
          <w:top w:val="single" w:color="D0D7DE" w:sz="1"/>
          <w:left w:val="single" w:color="D0D7DE" w:sz="1"/>
          <w:bottom w:val="single" w:color="D0D7DE" w:sz="1"/>
          <w:right w:val="single" w:color="D0D7DE" w:sz="1"/>
          <w:insideH w:val="single" w:color="auto" w:sz="4"/>
          <w:insideV w:val="single" w:color="auto" w:sz="4"/>
        </w:tblBorders>
      </w:tblPr>
      <w:tblGrid>
        <w:gridCol w:w="1200"/>
        <w:gridCol w:w="5560"/>
        <w:gridCol w:w="1400"/>
        <w:gridCol w:w="1200"/>
      </w:tblGrid>
      <w:tr>
        <w:tc>
          <w:tcPr>
            <w:tcW w:type="dxa" w:w="1200"/>
            <w:gridSpan w:val="1"/>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00A97F"/>
                <w:sz w:val="20"/>
                <w:szCs w:val="20"/>
              </w:rPr>
              <w:t xml:space="preserve">US-20</w:t>
            </w:r>
          </w:p>
        </w:tc>
        <w:tc>
          <w:tcPr>
            <w:tcW w:type="dxa" w:w="5560"/>
            <w:tcBorders>
              <w:top w:val="none" w:color="FFFFFF" w:sz="0"/>
              <w:left w:val="none" w:color="FFFFFF" w:sz="0"/>
              <w:bottom w:val="none" w:color="FFFFFF" w:sz="0"/>
              <w:right w:val="none" w:color="FFFFFF" w:sz="0"/>
            </w:tcBorders>
            <w:shd w:fill="0D3349" w:val="clear"/>
            <w:tcMar>
              <w:top w:type="dxa" w:w="100"/>
              <w:left w:type="dxa" w:w="160"/>
              <w:bottom w:type="dxa" w:w="100"/>
              <w:right w:type="dxa" w:w="160"/>
            </w:tcMar>
          </w:tcPr>
          <w:p>
            <w:r>
              <w:rPr>
                <w:rFonts w:ascii="Arial" w:cs="Arial" w:eastAsia="Arial" w:hAnsi="Arial"/>
                <w:b/>
                <w:bCs/>
                <w:color w:val="FFFFFF"/>
                <w:sz w:val="20"/>
                <w:szCs w:val="20"/>
              </w:rPr>
              <w:t xml:space="preserve">Have the Conversions tab be editable and extensible</w:t>
            </w:r>
          </w:p>
        </w:tc>
        <w:tc>
          <w:tcPr>
            <w:tcW w:type="dxa" w:w="14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Should Have</w:t>
            </w:r>
          </w:p>
        </w:tc>
        <w:tc>
          <w:tcPr>
            <w:tcW w:type="dxa" w:w="1200"/>
            <w:tcBorders>
              <w:top w:val="none" w:color="FFFFFF" w:sz="0"/>
              <w:left w:val="none" w:color="FFFFFF" w:sz="0"/>
              <w:bottom w:val="none" w:color="FFFFFF" w:sz="0"/>
              <w:right w:val="none" w:color="FFFFFF" w:sz="0"/>
            </w:tcBorders>
            <w:shd w:fill="27AE60" w:val="clear"/>
            <w:tcMar>
              <w:top w:type="dxa" w:w="60"/>
              <w:left w:type="dxa" w:w="100"/>
              <w:bottom w:type="dxa" w:w="60"/>
              <w:right w:type="dxa" w:w="100"/>
            </w:tcMar>
            <w:vAlign w:val="center"/>
          </w:tcPr>
          <w:p>
            <w:pPr>
              <w:jc w:val="center"/>
            </w:pPr>
            <w:r>
              <w:rPr>
                <w:rFonts w:ascii="Arial" w:cs="Arial" w:eastAsia="Arial" w:hAnsi="Arial"/>
                <w:b/>
                <w:bCs/>
                <w:color w:val="FFFFFF"/>
                <w:sz w:val="15"/>
                <w:szCs w:val="15"/>
              </w:rPr>
              <w:t xml:space="preserve">Done</w:t>
            </w:r>
          </w:p>
        </w:tc>
      </w:tr>
      <w:tr>
        <w:tc>
          <w:tcPr>
            <w:tcW w:type="dxa" w:w="1200"/>
            <w:tcBorders>
              <w:top w:val="none" w:color="FFFFFF" w:sz="0"/>
              <w:left w:val="none" w:color="FFFFFF" w:sz="0"/>
              <w:bottom w:val="none" w:color="FFFFFF" w:sz="0"/>
              <w:right w:val="none" w:color="FFFFFF" w:sz="0"/>
            </w:tcBorders>
            <w:shd w:fill="E8F4F1" w:val="clear"/>
            <w:tcMar>
              <w:top w:type="dxa" w:w="80"/>
              <w:left w:type="dxa" w:w="160"/>
              <w:bottom w:type="dxa" w:w="80"/>
              <w:right w:type="dxa" w:w="80"/>
            </w:tcMar>
          </w:tcPr>
          <w:p>
            <w:r>
              <w:rPr>
                <w:rFonts w:ascii="Arial" w:cs="Arial" w:eastAsia="Arial" w:hAnsi="Arial"/>
                <w:b/>
                <w:bCs/>
                <w:color w:val="1B5E8A"/>
                <w:sz w:val="17"/>
                <w:szCs w:val="17"/>
              </w:rPr>
              <w:t xml:space="preserve">Persona</w:t>
            </w:r>
          </w:p>
        </w:tc>
        <w:tc>
          <w:tcPr>
            <w:tcW w:type="dxa" w:w="8160"/>
            <w:gridSpan w:val="3"/>
            <w:tcBorders>
              <w:top w:val="none" w:color="FFFFFF" w:sz="0"/>
              <w:left w:val="none" w:color="FFFFFF" w:sz="0"/>
              <w:bottom w:val="none" w:color="FFFFFF" w:sz="0"/>
              <w:right w:val="none" w:color="FFFFFF" w:sz="0"/>
            </w:tcBorders>
            <w:shd w:fill="E8F4F1" w:val="clear"/>
            <w:tcMar>
              <w:top w:type="dxa" w:w="80"/>
              <w:left w:type="dxa" w:w="80"/>
              <w:bottom w:type="dxa" w:w="80"/>
              <w:right w:type="dxa" w:w="80"/>
            </w:tcMar>
          </w:tcPr>
          <w:p>
            <w:r>
              <w:rPr>
                <w:rFonts w:ascii="Arial" w:cs="Arial" w:eastAsia="Arial" w:hAnsi="Arial"/>
                <w:color w:val="1A1A1A"/>
                <w:sz w:val="18"/>
                <w:szCs w:val="18"/>
              </w:rPr>
              <w:t xml:space="preserve">Engineering / Data Lead</w:t>
            </w:r>
          </w:p>
        </w:tc>
      </w:tr>
      <w:tr>
        <w:tc>
          <w:tcPr>
            <w:tcW w:type="dxa" w:w="1200"/>
            <w:tcBorders>
              <w:top w:val="none" w:color="FFFFFF" w:sz="0"/>
              <w:left w:val="none" w:color="FFFFFF" w:sz="0"/>
              <w:bottom w:val="none" w:color="FFFFFF" w:sz="0"/>
              <w:right w:val="none" w:color="FFFFFF" w:sz="0"/>
            </w:tcBorders>
            <w:shd w:fill="FFFFFF" w:val="clear"/>
            <w:tcMar>
              <w:top w:type="dxa" w:w="80"/>
              <w:left w:type="dxa" w:w="160"/>
              <w:bottom w:type="dxa" w:w="80"/>
              <w:right w:type="dxa" w:w="80"/>
            </w:tcMar>
          </w:tcPr>
          <w:p>
            <w:r>
              <w:rPr>
                <w:rFonts w:ascii="Arial" w:cs="Arial" w:eastAsia="Arial" w:hAnsi="Arial"/>
                <w:b/>
                <w:bCs/>
                <w:color w:val="1B5E8A"/>
                <w:sz w:val="17"/>
                <w:szCs w:val="17"/>
              </w:rPr>
              <w:t xml:space="preserve">User Story</w:t>
            </w:r>
          </w:p>
        </w:tc>
        <w:tc>
          <w:tcPr>
            <w:tcW w:type="dxa" w:w="8160"/>
            <w:gridSpan w:val="3"/>
            <w:tcBorders>
              <w:top w:val="none" w:color="FFFFFF" w:sz="0"/>
              <w:left w:val="none" w:color="FFFFFF" w:sz="0"/>
              <w:bottom w:val="none" w:color="FFFFFF" w:sz="0"/>
              <w:right w:val="none" w:color="FFFFFF" w:sz="0"/>
            </w:tcBorders>
            <w:shd w:fill="FFFFFF" w:val="clear"/>
            <w:tcMar>
              <w:top w:type="dxa" w:w="80"/>
              <w:left w:type="dxa" w:w="80"/>
              <w:bottom w:type="dxa" w:w="80"/>
              <w:right w:type="dxa" w:w="80"/>
            </w:tcMar>
          </w:tcPr>
          <w:p>
            <w:r>
              <w:rPr>
                <w:rFonts w:ascii="Arial" w:cs="Arial" w:eastAsia="Arial" w:hAnsi="Arial"/>
                <w:i/>
                <w:iCs/>
                <w:color w:val="1A1A1A"/>
                <w:sz w:val="18"/>
                <w:szCs w:val="18"/>
              </w:rPr>
              <w:t xml:space="preserve">As a Engineering / Data Lead, I want the Conversions tab in the exported XLSX to be structured and editable, so that I can add new mapping rows when new damage types or component combinations appear in future datasets.</w:t>
            </w:r>
          </w:p>
        </w:tc>
      </w:tr>
      <w:tr>
        <w:tc>
          <w:tcPr>
            <w:tcW w:type="dxa" w:w="9360"/>
            <w:gridSpan w:val="4"/>
            <w:tcBorders>
              <w:top w:val="single" w:color="00A97F" w:sz="1"/>
              <w:left w:val="none" w:color="FFFFFF" w:sz="0"/>
              <w:bottom w:val="none" w:color="FFFFFF" w:sz="0"/>
              <w:right w:val="none" w:color="FFFFFF" w:sz="0"/>
            </w:tcBorders>
            <w:shd w:fill="F4F6F8" w:val="clear"/>
            <w:tcMar>
              <w:top w:type="dxa" w:w="80"/>
              <w:left w:type="dxa" w:w="160"/>
              <w:bottom w:type="dxa" w:w="60"/>
              <w:right w:type="dxa" w:w="80"/>
            </w:tcMar>
          </w:tcPr>
          <w:p>
            <w:r>
              <w:rPr>
                <w:rFonts w:ascii="Arial" w:cs="Arial" w:eastAsia="Arial" w:hAnsi="Arial"/>
                <w:b/>
                <w:bCs/>
                <w:color w:val="1B5E8A"/>
                <w:sz w:val="17"/>
                <w:szCs w:val="17"/>
              </w:rPr>
              <w:t xml:space="preserve">Acceptance Criteria</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AC-01</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Conversions tab contains three clearly labeled sections: Element / Component, Anomaly Type, Blade Side.</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AC-02</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Each section has a header row with column labels: the Source Platform, the organization (or Internal), the OEM (or OEM).</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AC-03</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A note on the Conversions tab instructs Engineering how to add new rows.</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AC-04</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VLOOKUP formulas in the Damages Report tab reference defined row ranges in the Conversions tab.</w:t>
            </w:r>
          </w:p>
        </w:tc>
      </w:tr>
      <w:tr>
        <w:tc>
          <w:tcPr>
            <w:tcW w:type="dxa" w:w="400"/>
            <w:tcBorders>
              <w:top w:val="none" w:color="FFFFFF" w:sz="0"/>
              <w:left w:val="none" w:color="FFFFFF" w:sz="0"/>
              <w:bottom w:val="none" w:color="FFFFFF" w:sz="0"/>
              <w:right w:val="none" w:color="FFFFFF" w:sz="0"/>
            </w:tcBorders>
            <w:shd w:fill="FFFFFF" w:val="clear"/>
            <w:tcMar>
              <w:top w:type="dxa" w:w="60"/>
              <w:left w:type="dxa" w:w="160"/>
              <w:bottom w:type="dxa" w:w="60"/>
              <w:right w:type="dxa" w:w="80"/>
            </w:tcMar>
          </w:tcPr>
          <w:p>
            <w:r>
              <w:rPr>
                <w:rFonts w:ascii="Arial" w:cs="Arial" w:eastAsia="Arial" w:hAnsi="Arial"/>
                <w:b/>
                <w:bCs/>
                <w:color w:val="4A5568"/>
                <w:sz w:val="17"/>
                <w:szCs w:val="17"/>
              </w:rPr>
              <w:t xml:space="preserve">AC-05</w:t>
            </w:r>
          </w:p>
        </w:tc>
        <w:tc>
          <w:tcPr>
            <w:tcW w:type="dxa" w:w="8960"/>
            <w:gridSpan w:val="3"/>
            <w:tcBorders>
              <w:top w:val="none" w:color="FFFFFF" w:sz="0"/>
              <w:left w:val="none" w:color="FFFFFF" w:sz="0"/>
              <w:bottom w:val="none" w:color="FFFFFF" w:sz="0"/>
              <w:right w:val="none" w:color="FFFFFF" w:sz="0"/>
            </w:tcBorders>
            <w:shd w:fill="FFFFFF" w:val="clear"/>
            <w:tcMar>
              <w:top w:type="dxa" w:w="60"/>
              <w:left w:type="dxa" w:w="80"/>
              <w:bottom w:type="dxa" w:w="60"/>
              <w:right w:type="dxa" w:w="80"/>
            </w:tcMar>
          </w:tcPr>
          <w:p>
            <w:r>
              <w:rPr>
                <w:rFonts w:ascii="Arial" w:cs="Arial" w:eastAsia="Arial" w:hAnsi="Arial"/>
                <w:color w:val="1A1A1A"/>
                <w:sz w:val="18"/>
                <w:szCs w:val="18"/>
              </w:rPr>
              <w:t xml:space="preserve">Adding a new row within the existing range of a section causes VLOOKUPs to pick it up automatically.</w:t>
            </w:r>
          </w:p>
        </w:tc>
      </w:tr>
      <w:tr>
        <w:tc>
          <w:tcPr>
            <w:tcW w:type="dxa" w:w="400"/>
            <w:tcBorders>
              <w:top w:val="none" w:color="FFFFFF" w:sz="0"/>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b/>
                <w:bCs/>
                <w:color w:val="4A5568"/>
                <w:sz w:val="17"/>
                <w:szCs w:val="17"/>
              </w:rPr>
              <w:t xml:space="preserve">AC-06</w:t>
            </w:r>
          </w:p>
        </w:tc>
        <w:tc>
          <w:tcPr>
            <w:tcW w:type="dxa" w:w="8960"/>
            <w:gridSpan w:val="3"/>
            <w:tcBorders>
              <w:top w:val="none" w:color="FFFFFF" w:sz="0"/>
              <w:left w:val="none" w:color="FFFFFF" w:sz="0"/>
              <w:bottom w:val="none" w:color="FFFFFF" w:sz="0"/>
              <w:right w:val="none" w:color="FFFFFF" w:sz="0"/>
            </w:tcBorders>
            <w:shd w:fill="F4F6F8" w:val="clear"/>
            <w:tcMar>
              <w:top w:type="dxa" w:w="60"/>
              <w:left w:type="dxa" w:w="80"/>
              <w:bottom w:type="dxa" w:w="60"/>
              <w:right w:type="dxa" w:w="80"/>
            </w:tcMar>
          </w:tcPr>
          <w:p>
            <w:r>
              <w:rPr>
                <w:rFonts w:ascii="Arial" w:cs="Arial" w:eastAsia="Arial" w:hAnsi="Arial"/>
                <w:color w:val="1A1A1A"/>
                <w:sz w:val="18"/>
                <w:szCs w:val="18"/>
              </w:rPr>
              <w:t xml:space="preserve">A known limitation note in the tool documentation states that adding rows beyond the current range requires manual formula range updates.</w:t>
            </w:r>
          </w:p>
        </w:tc>
      </w:tr>
      <w:tr>
        <w:tc>
          <w:tcPr>
            <w:tcW w:type="dxa" w:w="9360"/>
            <w:gridSpan w:val="4"/>
            <w:tcBorders>
              <w:top w:val="single" w:color="D0D7DE" w:sz="1"/>
              <w:left w:val="none" w:color="FFFFFF" w:sz="0"/>
              <w:bottom w:val="none" w:color="FFFFFF" w:sz="0"/>
              <w:right w:val="none" w:color="FFFFFF" w:sz="0"/>
            </w:tcBorders>
            <w:shd w:fill="F4F6F8" w:val="clear"/>
            <w:tcMar>
              <w:top w:type="dxa" w:w="60"/>
              <w:left w:type="dxa" w:w="160"/>
              <w:bottom w:type="dxa" w:w="60"/>
              <w:right w:type="dxa" w:w="80"/>
            </w:tcMar>
          </w:tcPr>
          <w:p>
            <w:r>
              <w:rPr>
                <w:rFonts w:ascii="Arial" w:cs="Arial" w:eastAsia="Arial" w:hAnsi="Arial"/>
                <w:color w:val="4A5568"/>
                <w:sz w:val="16"/>
                <w:szCs w:val="16"/>
              </w:rPr>
              <w:t xml:space="preserve">Version: v2.0</w:t>
            </w:r>
          </w:p>
        </w:tc>
      </w:tr>
    </w:tbl>
    <w:p>
      <w:pPr>
        <w:spacing w:after="0" w:before="0"/>
      </w:pPr>
      <w:r>
        <w:t xml:space="preserve"/>
      </w:r>
    </w:p>
    <w:p>
      <w:pPr>
        <w:pBdr>
          <w:top w:val="single" w:color="D0D7DE" w:sz="4" w:space="4"/>
        </w:pBdr>
        <w:spacing w:after="0" w:before="240"/>
      </w:pPr>
      <w:r>
        <w:rPr>
          <w:rFonts w:ascii="Arial" w:cs="Arial" w:eastAsia="Arial" w:hAnsi="Arial"/>
          <w:i/>
          <w:iCs/>
          <w:color w:val="4A5568"/>
          <w:sz w:val="16"/>
          <w:szCs w:val="16"/>
        </w:rPr>
        <w:t xml:space="preserve">Anomaly Upload Validator  ·  the organization  ·  Internal Use Only  ·  May 2026  ·  20 Stories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D3349"/>
      <w:sz w:val="36"/>
      <w:szCs w:val="36"/>
    </w:rPr>
  </w:style>
  <w:style w:type="paragraph" w:styleId="Heading2">
    <w:name w:val="Heading 2"/>
    <w:basedOn w:val="Normal"/>
    <w:next w:val="Normal"/>
    <w:qFormat/>
    <w:pPr>
      <w:spacing w:after="80" w:before="280"/>
      <w:outlineLvl w:val="1"/>
    </w:pPr>
    <w:rPr>
      <w:rFonts w:ascii="Arial" w:cs="Arial" w:eastAsia="Arial" w:hAnsi="Arial"/>
      <w:b/>
      <w:bCs/>
      <w:color w:val="1B5E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2026-05-02T08:02:36.999Z</dcterms:created>
  <dcterms:modified xsi:type="dcterms:W3CDTF">2026-05-02T08:02:37.061Z</dcterms:modified>
</cp:coreProperties>
</file>

<file path=docProps/custom.xml><?xml version="1.0" encoding="utf-8"?>
<Properties xmlns="http://schemas.openxmlformats.org/officeDocument/2006/custom-properties" xmlns:vt="http://schemas.openxmlformats.org/officeDocument/2006/docPropsVTypes"/>
</file>