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before="0"/>
      </w:pPr>
      <w:r>
        <w:rPr>
          <w:rFonts w:ascii="Arial" w:cs="Arial" w:eastAsia="Arial" w:hAnsi="Arial"/>
          <w:b/>
          <w:bCs/>
          <w:color w:val="0D3349"/>
          <w:sz w:val="52"/>
          <w:szCs w:val="52"/>
        </w:rPr>
        <w:t xml:space="preserve">Anomaly Upload Validator</w:t>
      </w:r>
    </w:p>
    <w:p>
      <w:pPr>
        <w:spacing w:after="80" w:before="0"/>
      </w:pPr>
      <w:r>
        <w:rPr>
          <w:rFonts w:ascii="Arial" w:cs="Arial" w:eastAsia="Arial" w:hAnsi="Arial"/>
          <w:color w:val="00A97F"/>
          <w:sz w:val="32"/>
          <w:szCs w:val="32"/>
        </w:rPr>
        <w:t xml:space="preserve">Release Notes &amp; Changelog</w:t>
      </w:r>
    </w:p>
    <w:p>
      <w:pPr>
        <w:pBdr>
          <w:bottom w:val="single" w:color="00A97F" w:sz="6" w:space="4"/>
        </w:pBdr>
        <w:spacing w:after="240" w:before="0"/>
      </w:pPr>
      <w:r>
        <w:rPr>
          <w:rFonts w:ascii="Arial" w:cs="Arial" w:eastAsia="Arial" w:hAnsi="Arial"/>
          <w:color w:val="4A5568"/>
          <w:sz w:val="18"/>
          <w:szCs w:val="18"/>
        </w:rPr>
        <w:t xml:space="preserve">the organization  ·  Internal Tool  ·  May 2026</w:t>
      </w:r>
    </w:p>
    <w:p>
      <w:pPr>
        <w:pStyle w:val="Heading2"/>
        <w:pBdr>
          <w:bottom w:val="single" w:color="00A97F" w:sz="4" w:space="4"/>
        </w:pBdr>
        <w:spacing w:after="80" w:before="280"/>
      </w:pPr>
      <w:r>
        <w:rPr>
          <w:rFonts w:ascii="Arial" w:cs="Arial" w:eastAsia="Arial" w:hAnsi="Arial"/>
          <w:b/>
          <w:bCs/>
          <w:color w:val="1B5E8A"/>
          <w:sz w:val="26"/>
          <w:szCs w:val="26"/>
        </w:rPr>
        <w:t xml:space="preserve">Document Overview</w:t>
      </w:r>
    </w:p>
    <w:p>
      <w:pPr>
        <w:spacing w:after="60" w:before="60"/>
      </w:pPr>
      <w:r>
        <w:rPr>
          <w:rFonts w:ascii="Arial" w:cs="Arial" w:eastAsia="Arial" w:hAnsi="Arial"/>
          <w:color w:val="1A1A1A"/>
          <w:sz w:val="20"/>
          <w:szCs w:val="20"/>
        </w:rPr>
        <w:t xml:space="preserve">This document provides a versioned history of the Anomaly Upload Validator — a browser-based tool that ingests raw inspection data exports from the source inspection platform, validates them against the the Internal Platform upload specification, converts field values across three nomenclature systems (the Source Platform → the organization → the OEM), enables human-in-the-loop resolution of unmatched values, and exports a formatted multi-tab XLSX working document.</w:t>
      </w:r>
    </w:p>
    <w:p>
      <w:pPr>
        <w:spacing w:after="0" w:before="0"/>
      </w:pPr>
      <w:r>
        <w:t xml:space="preserve"/>
      </w:r>
    </w:p>
    <w:p>
      <w:pPr>
        <w:spacing w:after="60" w:before="60"/>
      </w:pPr>
      <w:r>
        <w:rPr>
          <w:rFonts w:ascii="Arial" w:cs="Arial" w:eastAsia="Arial" w:hAnsi="Arial"/>
          <w:color w:val="1A1A1A"/>
          <w:sz w:val="20"/>
          <w:szCs w:val="20"/>
        </w:rPr>
        <w:t xml:space="preserve">Each version entry documents new features, enhancements, and bug fixes in chronological order. Known issues and migration notes are included where relevant.</w:t>
      </w:r>
    </w:p>
    <w:p>
      <w:pPr>
        <w:spacing w:after="0" w:before="0"/>
      </w:pPr>
      <w:r>
        <w:t xml:space="preserve"/>
      </w:r>
    </w:p>
    <w:p>
      <w:pPr>
        <w:pStyle w:val="Heading2"/>
        <w:pBdr>
          <w:bottom w:val="single" w:color="00A97F" w:sz="4" w:space="4"/>
        </w:pBdr>
        <w:spacing w:after="80" w:before="280"/>
      </w:pPr>
      <w:r>
        <w:rPr>
          <w:rFonts w:ascii="Arial" w:cs="Arial" w:eastAsia="Arial" w:hAnsi="Arial"/>
          <w:b/>
          <w:bCs/>
          <w:color w:val="1B5E8A"/>
          <w:sz w:val="26"/>
          <w:szCs w:val="26"/>
        </w:rPr>
        <w:t xml:space="preserve">Version Summary</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400"/>
        <w:gridCol w:w="3200"/>
        <w:gridCol w:w="2160"/>
        <w:gridCol w:w="2600"/>
      </w:tblGrid>
      <w:tr>
        <w:trPr>
          <w:tblHeader/>
        </w:trPr>
        <w:tc>
          <w:tcPr>
            <w:tcW w:type="dxa" w:w="1400"/>
            <w:tcBorders>
              <w:top w:val="single" w:color="D0D7DE" w:sz="1"/>
              <w:left w:val="single" w:color="D0D7DE" w:sz="1"/>
              <w:bottom w:val="single" w:color="D0D7DE" w:sz="1"/>
              <w:right w:val="single" w:color="D0D7DE" w:sz="1"/>
            </w:tcBorders>
            <w:shd w:fill="0D3349" w:val="clear"/>
            <w:tcMar>
              <w:top w:type="dxa" w:w="80"/>
              <w:left w:type="dxa" w:w="120"/>
              <w:bottom w:type="dxa" w:w="80"/>
              <w:right w:type="dxa" w:w="120"/>
            </w:tcMar>
          </w:tcPr>
          <w:p>
            <w:r>
              <w:rPr>
                <w:rFonts w:ascii="Arial" w:cs="Arial" w:eastAsia="Arial" w:hAnsi="Arial"/>
                <w:b/>
                <w:bCs/>
                <w:color w:val="FFFFFF"/>
                <w:sz w:val="18"/>
                <w:szCs w:val="18"/>
              </w:rPr>
              <w:t xml:space="preserve">Version</w:t>
            </w:r>
          </w:p>
        </w:tc>
        <w:tc>
          <w:tcPr>
            <w:tcW w:type="dxa" w:w="3200"/>
            <w:tcBorders>
              <w:top w:val="single" w:color="D0D7DE" w:sz="1"/>
              <w:left w:val="single" w:color="D0D7DE" w:sz="1"/>
              <w:bottom w:val="single" w:color="D0D7DE" w:sz="1"/>
              <w:right w:val="single" w:color="D0D7DE" w:sz="1"/>
            </w:tcBorders>
            <w:shd w:fill="0D3349" w:val="clear"/>
            <w:tcMar>
              <w:top w:type="dxa" w:w="80"/>
              <w:left w:type="dxa" w:w="120"/>
              <w:bottom w:type="dxa" w:w="80"/>
              <w:right w:type="dxa" w:w="120"/>
            </w:tcMar>
          </w:tcPr>
          <w:p>
            <w:r>
              <w:rPr>
                <w:rFonts w:ascii="Arial" w:cs="Arial" w:eastAsia="Arial" w:hAnsi="Arial"/>
                <w:b/>
                <w:bCs/>
                <w:color w:val="FFFFFF"/>
                <w:sz w:val="18"/>
                <w:szCs w:val="18"/>
              </w:rPr>
              <w:t xml:space="preserve">Release Date</w:t>
            </w:r>
          </w:p>
        </w:tc>
        <w:tc>
          <w:tcPr>
            <w:tcW w:type="dxa" w:w="2160"/>
            <w:tcBorders>
              <w:top w:val="single" w:color="D0D7DE" w:sz="1"/>
              <w:left w:val="single" w:color="D0D7DE" w:sz="1"/>
              <w:bottom w:val="single" w:color="D0D7DE" w:sz="1"/>
              <w:right w:val="single" w:color="D0D7DE" w:sz="1"/>
            </w:tcBorders>
            <w:shd w:fill="0D3349" w:val="clear"/>
            <w:tcMar>
              <w:top w:type="dxa" w:w="80"/>
              <w:left w:type="dxa" w:w="120"/>
              <w:bottom w:type="dxa" w:w="80"/>
              <w:right w:type="dxa" w:w="120"/>
            </w:tcMar>
          </w:tcPr>
          <w:p>
            <w:r>
              <w:rPr>
                <w:rFonts w:ascii="Arial" w:cs="Arial" w:eastAsia="Arial" w:hAnsi="Arial"/>
                <w:b/>
                <w:bCs/>
                <w:color w:val="FFFFFF"/>
                <w:sz w:val="18"/>
                <w:szCs w:val="18"/>
              </w:rPr>
              <w:t xml:space="preserve">Status</w:t>
            </w:r>
          </w:p>
        </w:tc>
        <w:tc>
          <w:tcPr>
            <w:tcW w:type="dxa" w:w="2600"/>
            <w:tcBorders>
              <w:top w:val="single" w:color="D0D7DE" w:sz="1"/>
              <w:left w:val="single" w:color="D0D7DE" w:sz="1"/>
              <w:bottom w:val="single" w:color="D0D7DE" w:sz="1"/>
              <w:right w:val="single" w:color="D0D7DE" w:sz="1"/>
            </w:tcBorders>
            <w:shd w:fill="0D3349" w:val="clear"/>
            <w:tcMar>
              <w:top w:type="dxa" w:w="80"/>
              <w:left w:type="dxa" w:w="120"/>
              <w:bottom w:type="dxa" w:w="80"/>
              <w:right w:type="dxa" w:w="120"/>
            </w:tcMar>
          </w:tcPr>
          <w:p>
            <w:r>
              <w:rPr>
                <w:rFonts w:ascii="Arial" w:cs="Arial" w:eastAsia="Arial" w:hAnsi="Arial"/>
                <w:b/>
                <w:bCs/>
                <w:color w:val="FFFFFF"/>
                <w:sz w:val="18"/>
                <w:szCs w:val="18"/>
              </w:rPr>
              <w:t xml:space="preserve">Key Milestone</w:t>
            </w:r>
          </w:p>
        </w:tc>
      </w:tr>
      <w:tr>
        <w:tc>
          <w:tcPr>
            <w:tcW w:type="dxa" w:w="14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b/>
                <w:bCs/>
                <w:color w:val="1A1A1A"/>
                <w:sz w:val="18"/>
                <w:szCs w:val="18"/>
              </w:rPr>
              <w:t xml:space="preserve">v1.0</w:t>
            </w:r>
          </w:p>
        </w:tc>
        <w:tc>
          <w:tcPr>
            <w:tcW w:type="dxa" w:w="32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b w:val="false"/>
                <w:bCs w:val="false"/>
                <w:color w:val="1A1A1A"/>
                <w:sz w:val="18"/>
                <w:szCs w:val="18"/>
              </w:rPr>
              <w:t xml:space="preserve">May 2026</w:t>
            </w:r>
          </w:p>
        </w:tc>
        <w:tc>
          <w:tcPr>
            <w:tcW w:type="dxa" w:w="216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b w:val="false"/>
                <w:bCs w:val="false"/>
                <w:color w:val="27AE60"/>
                <w:sz w:val="18"/>
                <w:szCs w:val="18"/>
              </w:rPr>
              <w:t xml:space="preserve">Released</w:t>
            </w:r>
          </w:p>
        </w:tc>
        <w:tc>
          <w:tcPr>
            <w:tcW w:type="dxa" w:w="26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b w:val="false"/>
                <w:bCs w:val="false"/>
                <w:color w:val="1A1A1A"/>
                <w:sz w:val="18"/>
                <w:szCs w:val="18"/>
              </w:rPr>
              <w:t xml:space="preserve">Core validator — field presence + format checks</w:t>
            </w:r>
          </w:p>
        </w:tc>
      </w:tr>
      <w:tr>
        <w:tc>
          <w:tcPr>
            <w:tcW w:type="dxa" w:w="14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b/>
                <w:bCs/>
                <w:color w:val="1A1A1A"/>
                <w:sz w:val="18"/>
                <w:szCs w:val="18"/>
              </w:rPr>
              <w:t xml:space="preserve">v1.1</w:t>
            </w:r>
          </w:p>
        </w:tc>
        <w:tc>
          <w:tcPr>
            <w:tcW w:type="dxa" w:w="32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b w:val="false"/>
                <w:bCs w:val="false"/>
                <w:color w:val="1A1A1A"/>
                <w:sz w:val="18"/>
                <w:szCs w:val="18"/>
              </w:rPr>
              <w:t xml:space="preserve">May 2026</w:t>
            </w:r>
          </w:p>
        </w:tc>
        <w:tc>
          <w:tcPr>
            <w:tcW w:type="dxa" w:w="216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b w:val="false"/>
                <w:bCs w:val="false"/>
                <w:color w:val="27AE60"/>
                <w:sz w:val="18"/>
                <w:szCs w:val="18"/>
              </w:rPr>
              <w:t xml:space="preserve">Released</w:t>
            </w:r>
          </w:p>
        </w:tc>
        <w:tc>
          <w:tcPr>
            <w:tcW w:type="dxa" w:w="26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b w:val="false"/>
                <w:bCs w:val="false"/>
                <w:color w:val="1A1A1A"/>
                <w:sz w:val="18"/>
                <w:szCs w:val="18"/>
              </w:rPr>
              <w:t xml:space="preserve">Three-tier status system: Error / Check Internally / Warning</w:t>
            </w:r>
          </w:p>
        </w:tc>
      </w:tr>
      <w:tr>
        <w:tc>
          <w:tcPr>
            <w:tcW w:type="dxa" w:w="14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b/>
                <w:bCs/>
                <w:color w:val="1A1A1A"/>
                <w:sz w:val="18"/>
                <w:szCs w:val="18"/>
              </w:rPr>
              <w:t xml:space="preserve">v1.2</w:t>
            </w:r>
          </w:p>
        </w:tc>
        <w:tc>
          <w:tcPr>
            <w:tcW w:type="dxa" w:w="32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b w:val="false"/>
                <w:bCs w:val="false"/>
                <w:color w:val="1A1A1A"/>
                <w:sz w:val="18"/>
                <w:szCs w:val="18"/>
              </w:rPr>
              <w:t xml:space="preserve">May 2026</w:t>
            </w:r>
          </w:p>
        </w:tc>
        <w:tc>
          <w:tcPr>
            <w:tcW w:type="dxa" w:w="216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b w:val="false"/>
                <w:bCs w:val="false"/>
                <w:color w:val="27AE60"/>
                <w:sz w:val="18"/>
                <w:szCs w:val="18"/>
              </w:rPr>
              <w:t xml:space="preserve">Released</w:t>
            </w:r>
          </w:p>
        </w:tc>
        <w:tc>
          <w:tcPr>
            <w:tcW w:type="dxa" w:w="26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b w:val="false"/>
                <w:bCs w:val="false"/>
                <w:color w:val="1A1A1A"/>
                <w:sz w:val="18"/>
                <w:szCs w:val="18"/>
              </w:rPr>
              <w:t xml:space="preserve">Blade Side expanded values; Serial Number made optional</w:t>
            </w:r>
          </w:p>
        </w:tc>
      </w:tr>
      <w:tr>
        <w:tc>
          <w:tcPr>
            <w:tcW w:type="dxa" w:w="14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b/>
                <w:bCs/>
                <w:color w:val="1A1A1A"/>
                <w:sz w:val="18"/>
                <w:szCs w:val="18"/>
              </w:rPr>
              <w:t xml:space="preserve">v2.0</w:t>
            </w:r>
          </w:p>
        </w:tc>
        <w:tc>
          <w:tcPr>
            <w:tcW w:type="dxa" w:w="32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b w:val="false"/>
                <w:bCs w:val="false"/>
                <w:color w:val="1A1A1A"/>
                <w:sz w:val="18"/>
                <w:szCs w:val="18"/>
              </w:rPr>
              <w:t xml:space="preserve">May 2026</w:t>
            </w:r>
          </w:p>
        </w:tc>
        <w:tc>
          <w:tcPr>
            <w:tcW w:type="dxa" w:w="216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b w:val="false"/>
                <w:bCs w:val="false"/>
                <w:color w:val="27AE60"/>
                <w:sz w:val="18"/>
                <w:szCs w:val="18"/>
              </w:rPr>
              <w:t xml:space="preserve">Released</w:t>
            </w:r>
          </w:p>
        </w:tc>
        <w:tc>
          <w:tcPr>
            <w:tcW w:type="dxa" w:w="26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b w:val="false"/>
                <w:bCs w:val="false"/>
                <w:color w:val="1A1A1A"/>
                <w:sz w:val="18"/>
                <w:szCs w:val="18"/>
              </w:rPr>
              <w:t xml:space="preserve">Full conversion engine + XLSX export with live formulas</w:t>
            </w:r>
          </w:p>
        </w:tc>
      </w:tr>
      <w:tr>
        <w:tc>
          <w:tcPr>
            <w:tcW w:type="dxa" w:w="14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b/>
                <w:bCs/>
                <w:color w:val="1A1A1A"/>
                <w:sz w:val="18"/>
                <w:szCs w:val="18"/>
              </w:rPr>
              <w:t xml:space="preserve">v2.1</w:t>
            </w:r>
          </w:p>
        </w:tc>
        <w:tc>
          <w:tcPr>
            <w:tcW w:type="dxa" w:w="32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b w:val="false"/>
                <w:bCs w:val="false"/>
                <w:color w:val="1A1A1A"/>
                <w:sz w:val="18"/>
                <w:szCs w:val="18"/>
              </w:rPr>
              <w:t xml:space="preserve">May 2026</w:t>
            </w:r>
          </w:p>
        </w:tc>
        <w:tc>
          <w:tcPr>
            <w:tcW w:type="dxa" w:w="216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b w:val="false"/>
                <w:bCs w:val="false"/>
                <w:color w:val="27AE60"/>
                <w:sz w:val="18"/>
                <w:szCs w:val="18"/>
              </w:rPr>
              <w:t xml:space="preserve">Released</w:t>
            </w:r>
          </w:p>
        </w:tc>
        <w:tc>
          <w:tcPr>
            <w:tcW w:type="dxa" w:w="26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b w:val="false"/>
                <w:bCs w:val="false"/>
                <w:color w:val="1A1A1A"/>
                <w:sz w:val="18"/>
                <w:szCs w:val="18"/>
              </w:rPr>
              <w:t xml:space="preserve">Multi-format support (Dataset A + Dataset B); ISBLANK bug fix</w:t>
            </w:r>
          </w:p>
        </w:tc>
      </w:tr>
    </w:tbl>
    <w:p>
      <w:pPr>
        <w:spacing w:after="0" w:before="0"/>
      </w:pPr>
      <w:r>
        <w:t xml:space="preserve"/>
      </w:r>
    </w:p>
    <w:p>
      <w:pPr>
        <w:pStyle w:val="Heading2"/>
        <w:pBdr>
          <w:bottom w:val="single" w:color="00A97F" w:sz="4" w:space="4"/>
        </w:pBdr>
        <w:spacing w:after="80" w:before="280"/>
      </w:pPr>
      <w:r>
        <w:rPr>
          <w:rFonts w:ascii="Arial" w:cs="Arial" w:eastAsia="Arial" w:hAnsi="Arial"/>
          <w:b/>
          <w:bCs/>
          <w:color w:val="1B5E8A"/>
          <w:sz w:val="26"/>
          <w:szCs w:val="26"/>
        </w:rPr>
        <w:t xml:space="preserve">v1.0 — Core Validator</w:t>
      </w:r>
    </w:p>
    <w:p>
      <w:pPr>
        <w:spacing w:after="60" w:before="60"/>
      </w:pPr>
      <w:r>
        <w:rPr>
          <w:rFonts w:ascii="Arial" w:cs="Arial" w:eastAsia="Arial" w:hAnsi="Arial"/>
          <w:i/>
          <w:iCs/>
          <w:color w:val="4A5568"/>
          <w:sz w:val="20"/>
          <w:szCs w:val="20"/>
        </w:rPr>
        <w:t xml:space="preserve">Release Date: May 2026   ·   Status: Released</w:t>
      </w:r>
    </w:p>
    <w:p>
      <w:pPr>
        <w:spacing w:after="0" w:before="0"/>
      </w:pPr>
      <w:r>
        <w:t xml:space="preserve"/>
      </w:r>
    </w:p>
    <w:p>
      <w:pPr>
        <w:spacing w:after="60" w:before="200"/>
      </w:pPr>
      <w:r>
        <w:rPr>
          <w:rFonts w:ascii="Arial" w:cs="Arial" w:eastAsia="Arial" w:hAnsi="Arial"/>
          <w:b/>
          <w:bCs/>
          <w:color w:val="1A1A1A"/>
          <w:sz w:val="22"/>
          <w:szCs w:val="22"/>
        </w:rPr>
        <w:t xml:space="preserve">Background</w:t>
      </w:r>
    </w:p>
    <w:p>
      <w:pPr>
        <w:spacing w:after="60" w:before="60"/>
      </w:pPr>
      <w:r>
        <w:rPr>
          <w:rFonts w:ascii="Arial" w:cs="Arial" w:eastAsia="Arial" w:hAnsi="Arial"/>
          <w:color w:val="1A1A1A"/>
          <w:sz w:val="20"/>
          <w:szCs w:val="20"/>
        </w:rPr>
        <w:t xml:space="preserve">OEM-commissioned wind farm asset owners use the Source Platform to conduct blade inspections. The resulting datasets are exported from the the source inspection platform platform as CSV or XLSX files and must be imported into the Internal Platform before onward submission to the the Output Platform platform. Prior to this tool, data coordinators manually checked each upload file for compliance — a time-consuming and error-prone process with no standardized output.</w:t>
      </w:r>
    </w:p>
    <w:p>
      <w:pPr>
        <w:spacing w:after="0" w:before="0"/>
      </w:pPr>
      <w:r>
        <w:t xml:space="preserve"/>
      </w:r>
    </w:p>
    <w:p>
      <w:pPr>
        <w:spacing w:after="60" w:before="200"/>
      </w:pPr>
      <w:r>
        <w:rPr>
          <w:rFonts w:ascii="Arial" w:cs="Arial" w:eastAsia="Arial" w:hAnsi="Arial"/>
          <w:b/>
          <w:bCs/>
          <w:color w:val="1A1A1A"/>
          <w:sz w:val="22"/>
          <w:szCs w:val="22"/>
        </w:rPr>
        <w:t xml:space="preserve">What Was Built</w:t>
      </w:r>
    </w:p>
    <w:p>
      <w:pPr>
        <w:spacing w:after="60" w:before="60"/>
      </w:pPr>
      <w:r>
        <w:rPr>
          <w:rFonts w:ascii="Arial" w:cs="Arial" w:eastAsia="Arial" w:hAnsi="Arial"/>
          <w:color w:val="1A1A1A"/>
          <w:sz w:val="20"/>
          <w:szCs w:val="20"/>
        </w:rPr>
        <w:t xml:space="preserve">A self-contained HTML file deployable via shared Google Drive with no installation required. The tool accepts CSV and XLSX uploads, parses them client-side, and validates every row and column against the the Internal Platform upload specification.</w:t>
      </w:r>
    </w:p>
    <w:p>
      <w:pPr>
        <w:spacing w:after="0" w:before="0"/>
      </w:pPr>
      <w:r>
        <w:t xml:space="preserve"/>
      </w:r>
    </w:p>
    <w:p>
      <w:pPr>
        <w:spacing w:after="60" w:before="200"/>
      </w:pPr>
      <w:r>
        <w:rPr>
          <w:rFonts w:ascii="Arial" w:cs="Arial" w:eastAsia="Arial" w:hAnsi="Arial"/>
          <w:b/>
          <w:bCs/>
          <w:color w:val="1A1A1A"/>
          <w:sz w:val="22"/>
          <w:szCs w:val="22"/>
        </w:rPr>
        <w:t xml:space="preserve">Changes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3000"/>
        <w:gridCol w:w="5160"/>
      </w:tblGrid>
      <w:tr>
        <w:trPr>
          <w:tblHeader/>
        </w:trPr>
        <w:tc>
          <w:tcPr>
            <w:tcW w:type="dxa" w:w="1200"/>
            <w:tcBorders>
              <w:top w:val="single" w:color="D0D7DE" w:sz="1"/>
              <w:left w:val="single" w:color="D0D7DE" w:sz="1"/>
              <w:bottom w:val="single" w:color="D0D7DE" w:sz="1"/>
              <w:right w:val="single" w:color="D0D7DE" w:sz="1"/>
            </w:tcBorders>
            <w:shd w:fill="1B5E8A" w:val="clear"/>
            <w:tcMar>
              <w:top w:type="dxa" w:w="80"/>
              <w:left w:type="dxa" w:w="120"/>
              <w:bottom w:type="dxa" w:w="80"/>
              <w:right w:type="dxa" w:w="120"/>
            </w:tcMar>
          </w:tcPr>
          <w:p>
            <w:r>
              <w:rPr>
                <w:rFonts w:ascii="Arial" w:cs="Arial" w:eastAsia="Arial" w:hAnsi="Arial"/>
                <w:b/>
                <w:bCs/>
                <w:color w:val="FFFFFF"/>
                <w:sz w:val="18"/>
                <w:szCs w:val="18"/>
              </w:rPr>
              <w:t xml:space="preserve">Type</w:t>
            </w:r>
          </w:p>
        </w:tc>
        <w:tc>
          <w:tcPr>
            <w:tcW w:type="dxa" w:w="3000"/>
            <w:tcBorders>
              <w:top w:val="single" w:color="D0D7DE" w:sz="1"/>
              <w:left w:val="single" w:color="D0D7DE" w:sz="1"/>
              <w:bottom w:val="single" w:color="D0D7DE" w:sz="1"/>
              <w:right w:val="single" w:color="D0D7DE" w:sz="1"/>
            </w:tcBorders>
            <w:shd w:fill="1B5E8A" w:val="clear"/>
            <w:tcMar>
              <w:top w:type="dxa" w:w="80"/>
              <w:left w:type="dxa" w:w="120"/>
              <w:bottom w:type="dxa" w:w="80"/>
              <w:right w:type="dxa" w:w="120"/>
            </w:tcMar>
          </w:tcPr>
          <w:p>
            <w:r>
              <w:rPr>
                <w:rFonts w:ascii="Arial" w:cs="Arial" w:eastAsia="Arial" w:hAnsi="Arial"/>
                <w:b/>
                <w:bCs/>
                <w:color w:val="FFFFFF"/>
                <w:sz w:val="18"/>
                <w:szCs w:val="18"/>
              </w:rPr>
              <w:t xml:space="preserve">Feature / Fix</w:t>
            </w:r>
          </w:p>
        </w:tc>
        <w:tc>
          <w:tcPr>
            <w:tcW w:type="dxa" w:w="5160"/>
            <w:tcBorders>
              <w:top w:val="single" w:color="D0D7DE" w:sz="1"/>
              <w:left w:val="single" w:color="D0D7DE" w:sz="1"/>
              <w:bottom w:val="single" w:color="D0D7DE" w:sz="1"/>
              <w:right w:val="single" w:color="D0D7DE" w:sz="1"/>
            </w:tcBorders>
            <w:shd w:fill="1B5E8A" w:val="clear"/>
            <w:tcMar>
              <w:top w:type="dxa" w:w="80"/>
              <w:left w:type="dxa" w:w="120"/>
              <w:bottom w:type="dxa" w:w="80"/>
              <w:right w:type="dxa" w:w="120"/>
            </w:tcMar>
          </w:tcPr>
          <w:p>
            <w:r>
              <w:rPr>
                <w:rFonts w:ascii="Arial" w:cs="Arial" w:eastAsia="Arial" w:hAnsi="Arial"/>
                <w:b/>
                <w:bCs/>
                <w:color w:val="FFFFFF"/>
                <w:sz w:val="18"/>
                <w:szCs w:val="18"/>
              </w:rPr>
              <w:t xml:space="preserve">Description</w:t>
            </w:r>
          </w:p>
        </w:tc>
      </w:tr>
      <w:tr>
        <w:tc>
          <w:tcPr>
            <w:tcW w:type="dxa" w:w="12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b/>
                <w:bCs/>
                <w:color w:val="27AE60"/>
                <w:sz w:val="18"/>
                <w:szCs w:val="18"/>
              </w:rPr>
              <w:t xml:space="preserve">Feature</w:t>
            </w:r>
          </w:p>
        </w:tc>
        <w:tc>
          <w:tcPr>
            <w:tcW w:type="dxa" w:w="30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b/>
                <w:bCs/>
                <w:color w:val="1A1A1A"/>
                <w:sz w:val="18"/>
                <w:szCs w:val="18"/>
              </w:rPr>
              <w:t xml:space="preserve">File ingestion</w:t>
            </w:r>
          </w:p>
        </w:tc>
        <w:tc>
          <w:tcPr>
            <w:tcW w:type="dxa" w:w="516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4A5568"/>
                <w:sz w:val="18"/>
                <w:szCs w:val="18"/>
              </w:rPr>
              <w:t xml:space="preserve">Drag-and-drop or browse for CSV / XLSX files. Parsed client-side using SheetJS — no data transmitted externally.</w:t>
            </w:r>
          </w:p>
        </w:tc>
      </w:tr>
      <w:tr>
        <w:tc>
          <w:tcPr>
            <w:tcW w:type="dxa" w:w="12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b/>
                <w:bCs/>
                <w:color w:val="27AE60"/>
                <w:sz w:val="18"/>
                <w:szCs w:val="18"/>
              </w:rPr>
              <w:t xml:space="preserve">Feature</w:t>
            </w:r>
          </w:p>
        </w:tc>
        <w:tc>
          <w:tcPr>
            <w:tcW w:type="dxa" w:w="30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b/>
                <w:bCs/>
                <w:color w:val="1A1A1A"/>
                <w:sz w:val="18"/>
                <w:szCs w:val="18"/>
              </w:rPr>
              <w:t xml:space="preserve">Column-level validation</w:t>
            </w:r>
          </w:p>
        </w:tc>
        <w:tc>
          <w:tcPr>
            <w:tcW w:type="dxa" w:w="516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4A5568"/>
                <w:sz w:val="18"/>
                <w:szCs w:val="18"/>
              </w:rPr>
              <w:t xml:space="preserve">Checks all 19 required column headers are present (case-sensitive). Flags missing columns with field name and description.</w:t>
            </w:r>
          </w:p>
        </w:tc>
      </w:tr>
      <w:tr>
        <w:tc>
          <w:tcPr>
            <w:tcW w:type="dxa" w:w="12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b/>
                <w:bCs/>
                <w:color w:val="27AE60"/>
                <w:sz w:val="18"/>
                <w:szCs w:val="18"/>
              </w:rPr>
              <w:t xml:space="preserve">Feature</w:t>
            </w:r>
          </w:p>
        </w:tc>
        <w:tc>
          <w:tcPr>
            <w:tcW w:type="dxa" w:w="30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b/>
                <w:bCs/>
                <w:color w:val="1A1A1A"/>
                <w:sz w:val="18"/>
                <w:szCs w:val="18"/>
              </w:rPr>
              <w:t xml:space="preserve">Row-level validation</w:t>
            </w:r>
          </w:p>
        </w:tc>
        <w:tc>
          <w:tcPr>
            <w:tcW w:type="dxa" w:w="516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4A5568"/>
                <w:sz w:val="18"/>
                <w:szCs w:val="18"/>
              </w:rPr>
              <w:t xml:space="preserve">Validates every required field per row: presence, format rules (date format, severity range, Yes/No, blade side codes, coordinate pair count, numeric fields).</w:t>
            </w:r>
          </w:p>
        </w:tc>
      </w:tr>
      <w:tr>
        <w:tc>
          <w:tcPr>
            <w:tcW w:type="dxa" w:w="12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b/>
                <w:bCs/>
                <w:color w:val="27AE60"/>
                <w:sz w:val="18"/>
                <w:szCs w:val="18"/>
              </w:rPr>
              <w:t xml:space="preserve">Feature</w:t>
            </w:r>
          </w:p>
        </w:tc>
        <w:tc>
          <w:tcPr>
            <w:tcW w:type="dxa" w:w="30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b/>
                <w:bCs/>
                <w:color w:val="1A1A1A"/>
                <w:sz w:val="18"/>
                <w:szCs w:val="18"/>
              </w:rPr>
              <w:t xml:space="preserve">Compliance score</w:t>
            </w:r>
          </w:p>
        </w:tc>
        <w:tc>
          <w:tcPr>
            <w:tcW w:type="dxa" w:w="516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4A5568"/>
                <w:sz w:val="18"/>
                <w:szCs w:val="18"/>
              </w:rPr>
              <w:t xml:space="preserve">Percentage of clean rows displayed with color indicator (green ≥80%, amber ≥50%, red &lt;50%).</w:t>
            </w:r>
          </w:p>
        </w:tc>
      </w:tr>
      <w:tr>
        <w:tc>
          <w:tcPr>
            <w:tcW w:type="dxa" w:w="12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b/>
                <w:bCs/>
                <w:color w:val="27AE60"/>
                <w:sz w:val="18"/>
                <w:szCs w:val="18"/>
              </w:rPr>
              <w:t xml:space="preserve">Feature</w:t>
            </w:r>
          </w:p>
        </w:tc>
        <w:tc>
          <w:tcPr>
            <w:tcW w:type="dxa" w:w="30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b/>
                <w:bCs/>
                <w:color w:val="1A1A1A"/>
                <w:sz w:val="18"/>
                <w:szCs w:val="18"/>
              </w:rPr>
              <w:t xml:space="preserve">Issues table</w:t>
            </w:r>
          </w:p>
        </w:tc>
        <w:tc>
          <w:tcPr>
            <w:tcW w:type="dxa" w:w="516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4A5568"/>
                <w:sz w:val="18"/>
                <w:szCs w:val="18"/>
              </w:rPr>
              <w:t xml:space="preserve">Tabular view of all row-level issues with Row #, Anomaly ID, Field, Status, and Detail columns.</w:t>
            </w:r>
          </w:p>
        </w:tc>
      </w:tr>
      <w:tr>
        <w:tc>
          <w:tcPr>
            <w:tcW w:type="dxa" w:w="12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b/>
                <w:bCs/>
                <w:color w:val="27AE60"/>
                <w:sz w:val="18"/>
                <w:szCs w:val="18"/>
              </w:rPr>
              <w:t xml:space="preserve">Feature</w:t>
            </w:r>
          </w:p>
        </w:tc>
        <w:tc>
          <w:tcPr>
            <w:tcW w:type="dxa" w:w="30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b/>
                <w:bCs/>
                <w:color w:val="1A1A1A"/>
                <w:sz w:val="18"/>
                <w:szCs w:val="18"/>
              </w:rPr>
              <w:t xml:space="preserve">Filter tabs</w:t>
            </w:r>
          </w:p>
        </w:tc>
        <w:tc>
          <w:tcPr>
            <w:tcW w:type="dxa" w:w="516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4A5568"/>
                <w:sz w:val="18"/>
                <w:szCs w:val="18"/>
              </w:rPr>
              <w:t xml:space="preserve">Filter issues table by All / Errors / Warnings.</w:t>
            </w:r>
          </w:p>
        </w:tc>
      </w:tr>
      <w:tr>
        <w:tc>
          <w:tcPr>
            <w:tcW w:type="dxa" w:w="12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b/>
                <w:bCs/>
                <w:color w:val="27AE60"/>
                <w:sz w:val="18"/>
                <w:szCs w:val="18"/>
              </w:rPr>
              <w:t xml:space="preserve">Feature</w:t>
            </w:r>
          </w:p>
        </w:tc>
        <w:tc>
          <w:tcPr>
            <w:tcW w:type="dxa" w:w="30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b/>
                <w:bCs/>
                <w:color w:val="1A1A1A"/>
                <w:sz w:val="18"/>
                <w:szCs w:val="18"/>
              </w:rPr>
              <w:t xml:space="preserve">Validation report export</w:t>
            </w:r>
          </w:p>
        </w:tc>
        <w:tc>
          <w:tcPr>
            <w:tcW w:type="dxa" w:w="516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4A5568"/>
                <w:sz w:val="18"/>
                <w:szCs w:val="18"/>
              </w:rPr>
              <w:t xml:space="preserve">Download issues as a dated CSV for sharing with data teams.</w:t>
            </w:r>
          </w:p>
        </w:tc>
      </w:tr>
      <w:tr>
        <w:tc>
          <w:tcPr>
            <w:tcW w:type="dxa" w:w="12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b/>
                <w:bCs/>
                <w:color w:val="27AE60"/>
                <w:sz w:val="18"/>
                <w:szCs w:val="18"/>
              </w:rPr>
              <w:t xml:space="preserve">Feature</w:t>
            </w:r>
          </w:p>
        </w:tc>
        <w:tc>
          <w:tcPr>
            <w:tcW w:type="dxa" w:w="30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b/>
                <w:bCs/>
                <w:color w:val="1A1A1A"/>
                <w:sz w:val="18"/>
                <w:szCs w:val="18"/>
              </w:rPr>
              <w:t xml:space="preserve">Dataset summary</w:t>
            </w:r>
          </w:p>
        </w:tc>
        <w:tc>
          <w:tcPr>
            <w:tcW w:type="dxa" w:w="516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4A5568"/>
                <w:sz w:val="18"/>
                <w:szCs w:val="18"/>
              </w:rPr>
              <w:t xml:space="preserve">Displays total anomaly count, unique turbine count, and unique site count with per-site breakdown table.</w:t>
            </w:r>
          </w:p>
        </w:tc>
      </w:tr>
    </w:tbl>
    <w:p>
      <w:pPr>
        <w:spacing w:after="0" w:before="0"/>
      </w:pPr>
      <w:r>
        <w:t xml:space="preserve"/>
      </w:r>
    </w:p>
    <w:p>
      <w:pPr>
        <w:spacing w:after="60" w:before="200"/>
      </w:pPr>
      <w:r>
        <w:rPr>
          <w:rFonts w:ascii="Arial" w:cs="Arial" w:eastAsia="Arial" w:hAnsi="Arial"/>
          <w:b/>
          <w:bCs/>
          <w:color w:val="1A1A1A"/>
          <w:sz w:val="22"/>
          <w:szCs w:val="22"/>
        </w:rPr>
        <w:t xml:space="preserve">Known Issues at Release</w:t>
      </w:r>
    </w:p>
    <w:p>
      <w:pPr>
        <w:pStyle w:val="ListParagraph"/>
        <w:numPr>
          <w:ilvl w:val="0"/>
          <w:numId w:val="2"/>
        </w:numPr>
        <w:spacing w:after="40" w:before="40"/>
      </w:pPr>
      <w:r>
        <w:rPr>
          <w:rFonts w:ascii="Arial" w:cs="Arial" w:eastAsia="Arial" w:hAnsi="Arial"/>
          <w:b w:val="false"/>
          <w:bCs w:val="false"/>
          <w:color w:val="1A1A1A"/>
          <w:sz w:val="20"/>
          <w:szCs w:val="20"/>
        </w:rPr>
        <w:t xml:space="preserve">Serial Number treated as a required field — later demoted to conditional in v1.2.</w:t>
      </w:r>
    </w:p>
    <w:p>
      <w:pPr>
        <w:pStyle w:val="ListParagraph"/>
        <w:numPr>
          <w:ilvl w:val="0"/>
          <w:numId w:val="2"/>
        </w:numPr>
        <w:spacing w:after="40" w:before="40"/>
      </w:pPr>
      <w:r>
        <w:rPr>
          <w:rFonts w:ascii="Arial" w:cs="Arial" w:eastAsia="Arial" w:hAnsi="Arial"/>
          <w:b w:val="false"/>
          <w:bCs w:val="false"/>
          <w:color w:val="1A1A1A"/>
          <w:sz w:val="20"/>
          <w:szCs w:val="20"/>
        </w:rPr>
        <w:t xml:space="preserve">Blade Side validation limited to two-character codes only (LE, TE, PS, SS).</w:t>
      </w:r>
    </w:p>
    <w:p>
      <w:pPr>
        <w:pStyle w:val="ListParagraph"/>
        <w:numPr>
          <w:ilvl w:val="0"/>
          <w:numId w:val="2"/>
        </w:numPr>
        <w:spacing w:after="40" w:before="40"/>
      </w:pPr>
      <w:r>
        <w:rPr>
          <w:rFonts w:ascii="Arial" w:cs="Arial" w:eastAsia="Arial" w:hAnsi="Arial"/>
          <w:b w:val="false"/>
          <w:bCs w:val="false"/>
          <w:color w:val="1A1A1A"/>
          <w:sz w:val="20"/>
          <w:szCs w:val="20"/>
        </w:rPr>
        <w:t xml:space="preserve">No conversion logic — field values validated as-is.</w:t>
      </w:r>
    </w:p>
    <w:p>
      <w:pPr>
        <w:spacing w:after="0" w:before="0"/>
      </w:pPr>
      <w:r>
        <w:t xml:space="preserve"/>
      </w:r>
    </w:p>
    <w:p>
      <w:pPr>
        <w:pStyle w:val="Heading2"/>
        <w:pBdr>
          <w:bottom w:val="single" w:color="00A97F" w:sz="4" w:space="4"/>
        </w:pBdr>
        <w:spacing w:after="80" w:before="280"/>
      </w:pPr>
      <w:r>
        <w:rPr>
          <w:rFonts w:ascii="Arial" w:cs="Arial" w:eastAsia="Arial" w:hAnsi="Arial"/>
          <w:b/>
          <w:bCs/>
          <w:color w:val="1B5E8A"/>
          <w:sz w:val="26"/>
          <w:szCs w:val="26"/>
        </w:rPr>
        <w:t xml:space="preserve">v1.1 — Three-Tier Status System</w:t>
      </w:r>
    </w:p>
    <w:p>
      <w:pPr>
        <w:spacing w:after="60" w:before="60"/>
      </w:pPr>
      <w:r>
        <w:rPr>
          <w:rFonts w:ascii="Arial" w:cs="Arial" w:eastAsia="Arial" w:hAnsi="Arial"/>
          <w:i/>
          <w:iCs/>
          <w:color w:val="4A5568"/>
          <w:sz w:val="20"/>
          <w:szCs w:val="20"/>
        </w:rPr>
        <w:t xml:space="preserve">Release Date: May 2026   ·   Status: Released</w:t>
      </w:r>
    </w:p>
    <w:p>
      <w:pPr>
        <w:spacing w:after="0" w:before="0"/>
      </w:pPr>
      <w:r>
        <w:t xml:space="preserve"/>
      </w:r>
    </w:p>
    <w:p>
      <w:pPr>
        <w:spacing w:after="60" w:before="200"/>
      </w:pPr>
      <w:r>
        <w:rPr>
          <w:rFonts w:ascii="Arial" w:cs="Arial" w:eastAsia="Arial" w:hAnsi="Arial"/>
          <w:b/>
          <w:bCs/>
          <w:color w:val="1A1A1A"/>
          <w:sz w:val="22"/>
          <w:szCs w:val="22"/>
        </w:rPr>
        <w:t xml:space="preserve">Background</w:t>
      </w:r>
    </w:p>
    <w:p>
      <w:pPr>
        <w:spacing w:after="60" w:before="60"/>
      </w:pPr>
      <w:r>
        <w:rPr>
          <w:rFonts w:ascii="Arial" w:cs="Arial" w:eastAsia="Arial" w:hAnsi="Arial"/>
          <w:color w:val="1A1A1A"/>
          <w:sz w:val="20"/>
          <w:szCs w:val="20"/>
        </w:rPr>
        <w:t xml:space="preserve">During initial testing it became clear that not all empty fields represent genuine data gaps. For certain fields — specifically Asset (turbine serial number) and Coordinates — the information may exist in the organization's historical records and simply wasn't included in the the source inspection platform export. Flagging these as hard errors was creating false positives and undermining trust in the compliance score.</w:t>
      </w:r>
    </w:p>
    <w:p>
      <w:pPr>
        <w:spacing w:after="0" w:before="0"/>
      </w:pPr>
      <w:r>
        <w:t xml:space="preserve"/>
      </w:r>
    </w:p>
    <w:p>
      <w:pPr>
        <w:spacing w:after="60" w:before="200"/>
      </w:pPr>
      <w:r>
        <w:rPr>
          <w:rFonts w:ascii="Arial" w:cs="Arial" w:eastAsia="Arial" w:hAnsi="Arial"/>
          <w:b/>
          <w:bCs/>
          <w:color w:val="1A1A1A"/>
          <w:sz w:val="22"/>
          <w:szCs w:val="22"/>
        </w:rPr>
        <w:t xml:space="preserve">Changes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3000"/>
        <w:gridCol w:w="5160"/>
      </w:tblGrid>
      <w:tr>
        <w:trPr>
          <w:tblHeader/>
        </w:trPr>
        <w:tc>
          <w:tcPr>
            <w:tcW w:type="dxa" w:w="1200"/>
            <w:tcBorders>
              <w:top w:val="single" w:color="D0D7DE" w:sz="1"/>
              <w:left w:val="single" w:color="D0D7DE" w:sz="1"/>
              <w:bottom w:val="single" w:color="D0D7DE" w:sz="1"/>
              <w:right w:val="single" w:color="D0D7DE" w:sz="1"/>
            </w:tcBorders>
            <w:shd w:fill="1B5E8A" w:val="clear"/>
            <w:tcMar>
              <w:top w:type="dxa" w:w="80"/>
              <w:left w:type="dxa" w:w="120"/>
              <w:bottom w:type="dxa" w:w="80"/>
              <w:right w:type="dxa" w:w="120"/>
            </w:tcMar>
          </w:tcPr>
          <w:p>
            <w:r>
              <w:rPr>
                <w:rFonts w:ascii="Arial" w:cs="Arial" w:eastAsia="Arial" w:hAnsi="Arial"/>
                <w:b/>
                <w:bCs/>
                <w:color w:val="FFFFFF"/>
                <w:sz w:val="18"/>
                <w:szCs w:val="18"/>
              </w:rPr>
              <w:t xml:space="preserve">Type</w:t>
            </w:r>
          </w:p>
        </w:tc>
        <w:tc>
          <w:tcPr>
            <w:tcW w:type="dxa" w:w="3000"/>
            <w:tcBorders>
              <w:top w:val="single" w:color="D0D7DE" w:sz="1"/>
              <w:left w:val="single" w:color="D0D7DE" w:sz="1"/>
              <w:bottom w:val="single" w:color="D0D7DE" w:sz="1"/>
              <w:right w:val="single" w:color="D0D7DE" w:sz="1"/>
            </w:tcBorders>
            <w:shd w:fill="1B5E8A" w:val="clear"/>
            <w:tcMar>
              <w:top w:type="dxa" w:w="80"/>
              <w:left w:type="dxa" w:w="120"/>
              <w:bottom w:type="dxa" w:w="80"/>
              <w:right w:type="dxa" w:w="120"/>
            </w:tcMar>
          </w:tcPr>
          <w:p>
            <w:r>
              <w:rPr>
                <w:rFonts w:ascii="Arial" w:cs="Arial" w:eastAsia="Arial" w:hAnsi="Arial"/>
                <w:b/>
                <w:bCs/>
                <w:color w:val="FFFFFF"/>
                <w:sz w:val="18"/>
                <w:szCs w:val="18"/>
              </w:rPr>
              <w:t xml:space="preserve">Feature / Fix</w:t>
            </w:r>
          </w:p>
        </w:tc>
        <w:tc>
          <w:tcPr>
            <w:tcW w:type="dxa" w:w="5160"/>
            <w:tcBorders>
              <w:top w:val="single" w:color="D0D7DE" w:sz="1"/>
              <w:left w:val="single" w:color="D0D7DE" w:sz="1"/>
              <w:bottom w:val="single" w:color="D0D7DE" w:sz="1"/>
              <w:right w:val="single" w:color="D0D7DE" w:sz="1"/>
            </w:tcBorders>
            <w:shd w:fill="1B5E8A" w:val="clear"/>
            <w:tcMar>
              <w:top w:type="dxa" w:w="80"/>
              <w:left w:type="dxa" w:w="120"/>
              <w:bottom w:type="dxa" w:w="80"/>
              <w:right w:type="dxa" w:w="120"/>
            </w:tcMar>
          </w:tcPr>
          <w:p>
            <w:r>
              <w:rPr>
                <w:rFonts w:ascii="Arial" w:cs="Arial" w:eastAsia="Arial" w:hAnsi="Arial"/>
                <w:b/>
                <w:bCs/>
                <w:color w:val="FFFFFF"/>
                <w:sz w:val="18"/>
                <w:szCs w:val="18"/>
              </w:rPr>
              <w:t xml:space="preserve">Description</w:t>
            </w:r>
          </w:p>
        </w:tc>
      </w:tr>
      <w:tr>
        <w:tc>
          <w:tcPr>
            <w:tcW w:type="dxa" w:w="12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b/>
                <w:bCs/>
                <w:color w:val="27AE60"/>
                <w:sz w:val="18"/>
                <w:szCs w:val="18"/>
              </w:rPr>
              <w:t xml:space="preserve">Feature</w:t>
            </w:r>
          </w:p>
        </w:tc>
        <w:tc>
          <w:tcPr>
            <w:tcW w:type="dxa" w:w="30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b/>
                <w:bCs/>
                <w:color w:val="1A1A1A"/>
                <w:sz w:val="18"/>
                <w:szCs w:val="18"/>
              </w:rPr>
              <w:t xml:space="preserve">Check Internally status</w:t>
            </w:r>
          </w:p>
        </w:tc>
        <w:tc>
          <w:tcPr>
            <w:tcW w:type="dxa" w:w="516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4A5568"/>
                <w:sz w:val="18"/>
                <w:szCs w:val="18"/>
              </w:rPr>
              <w:t xml:space="preserve">New third status (blue) for Asset and Coordinates fields when empty. Indicates the value may be on file internally. These rows are excluded from the compliance score calculation.</w:t>
            </w:r>
          </w:p>
        </w:tc>
      </w:tr>
      <w:tr>
        <w:tc>
          <w:tcPr>
            <w:tcW w:type="dxa" w:w="12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b/>
                <w:bCs/>
                <w:color w:val="1B5E8A"/>
                <w:sz w:val="18"/>
                <w:szCs w:val="18"/>
              </w:rPr>
              <w:t xml:space="preserve">Enhancement</w:t>
            </w:r>
          </w:p>
        </w:tc>
        <w:tc>
          <w:tcPr>
            <w:tcW w:type="dxa" w:w="30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b/>
                <w:bCs/>
                <w:color w:val="1A1A1A"/>
                <w:sz w:val="18"/>
                <w:szCs w:val="18"/>
              </w:rPr>
              <w:t xml:space="preserve">Four-status legend</w:t>
            </w:r>
          </w:p>
        </w:tc>
        <w:tc>
          <w:tcPr>
            <w:tcW w:type="dxa" w:w="516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4A5568"/>
                <w:sz w:val="18"/>
                <w:szCs w:val="18"/>
              </w:rPr>
              <w:t xml:space="preserve">Sidebar updated with color-coded legend: Error (red), Check Internally (blue), Warning (amber).</w:t>
            </w:r>
          </w:p>
        </w:tc>
      </w:tr>
      <w:tr>
        <w:tc>
          <w:tcPr>
            <w:tcW w:type="dxa" w:w="12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b/>
                <w:bCs/>
                <w:color w:val="1B5E8A"/>
                <w:sz w:val="18"/>
                <w:szCs w:val="18"/>
              </w:rPr>
              <w:t xml:space="preserve">Enhancement</w:t>
            </w:r>
          </w:p>
        </w:tc>
        <w:tc>
          <w:tcPr>
            <w:tcW w:type="dxa" w:w="30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b/>
                <w:bCs/>
                <w:color w:val="1A1A1A"/>
                <w:sz w:val="18"/>
                <w:szCs w:val="18"/>
              </w:rPr>
              <w:t xml:space="preserve">Compliance score denominator</w:t>
            </w:r>
          </w:p>
        </w:tc>
        <w:tc>
          <w:tcPr>
            <w:tcW w:type="dxa" w:w="516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4A5568"/>
                <w:sz w:val="18"/>
                <w:szCs w:val="18"/>
              </w:rPr>
              <w:t xml:space="preserve">Score now calculated as clean rows / (total rows - check-internally rows) to avoid penalising potentially valid data.</w:t>
            </w:r>
          </w:p>
        </w:tc>
      </w:tr>
      <w:tr>
        <w:tc>
          <w:tcPr>
            <w:tcW w:type="dxa" w:w="12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b/>
                <w:bCs/>
                <w:color w:val="1B5E8A"/>
                <w:sz w:val="18"/>
                <w:szCs w:val="18"/>
              </w:rPr>
              <w:t xml:space="preserve">Enhancement</w:t>
            </w:r>
          </w:p>
        </w:tc>
        <w:tc>
          <w:tcPr>
            <w:tcW w:type="dxa" w:w="30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b/>
                <w:bCs/>
                <w:color w:val="1A1A1A"/>
                <w:sz w:val="18"/>
                <w:szCs w:val="18"/>
              </w:rPr>
              <w:t xml:space="preserve">Check Internally filter tab</w:t>
            </w:r>
          </w:p>
        </w:tc>
        <w:tc>
          <w:tcPr>
            <w:tcW w:type="dxa" w:w="516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4A5568"/>
                <w:sz w:val="18"/>
                <w:szCs w:val="18"/>
              </w:rPr>
              <w:t xml:space="preserve">Dedicated filter tab added to issues table.</w:t>
            </w:r>
          </w:p>
        </w:tc>
      </w:tr>
      <w:tr>
        <w:tc>
          <w:tcPr>
            <w:tcW w:type="dxa" w:w="12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b/>
                <w:bCs/>
                <w:color w:val="1B5E8A"/>
                <w:sz w:val="18"/>
                <w:szCs w:val="18"/>
              </w:rPr>
              <w:t xml:space="preserve">Enhancement</w:t>
            </w:r>
          </w:p>
        </w:tc>
        <w:tc>
          <w:tcPr>
            <w:tcW w:type="dxa" w:w="30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b/>
                <w:bCs/>
                <w:color w:val="1A1A1A"/>
                <w:sz w:val="18"/>
                <w:szCs w:val="18"/>
              </w:rPr>
              <w:t xml:space="preserve">CSV export labels</w:t>
            </w:r>
          </w:p>
        </w:tc>
        <w:tc>
          <w:tcPr>
            <w:tcW w:type="dxa" w:w="516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4A5568"/>
                <w:sz w:val="18"/>
                <w:szCs w:val="18"/>
              </w:rPr>
              <w:t xml:space="preserve">Export now uses three-label Status column: Error / Check Internally / Warning.</w:t>
            </w:r>
          </w:p>
        </w:tc>
      </w:tr>
      <w:tr>
        <w:tc>
          <w:tcPr>
            <w:tcW w:type="dxa" w:w="12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b/>
                <w:bCs/>
                <w:color w:val="1B5E8A"/>
                <w:sz w:val="18"/>
                <w:szCs w:val="18"/>
              </w:rPr>
              <w:t xml:space="preserve">Enhancement</w:t>
            </w:r>
          </w:p>
        </w:tc>
        <w:tc>
          <w:tcPr>
            <w:tcW w:type="dxa" w:w="30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b/>
                <w:bCs/>
                <w:color w:val="1A1A1A"/>
                <w:sz w:val="18"/>
                <w:szCs w:val="18"/>
              </w:rPr>
              <w:t xml:space="preserve">Summary stats card</w:t>
            </w:r>
          </w:p>
        </w:tc>
        <w:tc>
          <w:tcPr>
            <w:tcW w:type="dxa" w:w="516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4A5568"/>
                <w:sz w:val="18"/>
                <w:szCs w:val="18"/>
              </w:rPr>
              <w:t xml:space="preserve">Fifth stat card added for Check Internally row count.</w:t>
            </w:r>
          </w:p>
        </w:tc>
      </w:tr>
    </w:tbl>
    <w:p>
      <w:pPr>
        <w:spacing w:after="0" w:before="0"/>
      </w:pPr>
      <w:r>
        <w:t xml:space="preserve"/>
      </w:r>
    </w:p>
    <w:p>
      <w:pPr>
        <w:pStyle w:val="Heading2"/>
        <w:pBdr>
          <w:bottom w:val="single" w:color="00A97F" w:sz="4" w:space="4"/>
        </w:pBdr>
        <w:spacing w:after="80" w:before="280"/>
      </w:pPr>
      <w:r>
        <w:rPr>
          <w:rFonts w:ascii="Arial" w:cs="Arial" w:eastAsia="Arial" w:hAnsi="Arial"/>
          <w:b/>
          <w:bCs/>
          <w:color w:val="1B5E8A"/>
          <w:sz w:val="26"/>
          <w:szCs w:val="26"/>
        </w:rPr>
        <w:t xml:space="preserve">v1.2 — Field Spec Refinements</w:t>
      </w:r>
    </w:p>
    <w:p>
      <w:pPr>
        <w:spacing w:after="60" w:before="60"/>
      </w:pPr>
      <w:r>
        <w:rPr>
          <w:rFonts w:ascii="Arial" w:cs="Arial" w:eastAsia="Arial" w:hAnsi="Arial"/>
          <w:i/>
          <w:iCs/>
          <w:color w:val="4A5568"/>
          <w:sz w:val="20"/>
          <w:szCs w:val="20"/>
        </w:rPr>
        <w:t xml:space="preserve">Release Date: May 2026   ·   Status: Released</w:t>
      </w:r>
    </w:p>
    <w:p>
      <w:pPr>
        <w:spacing w:after="0" w:before="0"/>
      </w:pPr>
      <w:r>
        <w:t xml:space="preserve"/>
      </w:r>
    </w:p>
    <w:p>
      <w:pPr>
        <w:spacing w:after="60" w:before="200"/>
      </w:pPr>
      <w:r>
        <w:rPr>
          <w:rFonts w:ascii="Arial" w:cs="Arial" w:eastAsia="Arial" w:hAnsi="Arial"/>
          <w:b/>
          <w:bCs/>
          <w:color w:val="1A1A1A"/>
          <w:sz w:val="22"/>
          <w:szCs w:val="22"/>
        </w:rPr>
        <w:t xml:space="preserve">Background</w:t>
      </w:r>
    </w:p>
    <w:p>
      <w:pPr>
        <w:spacing w:after="60" w:before="60"/>
      </w:pPr>
      <w:r>
        <w:rPr>
          <w:rFonts w:ascii="Arial" w:cs="Arial" w:eastAsia="Arial" w:hAnsi="Arial"/>
          <w:color w:val="1A1A1A"/>
          <w:sz w:val="20"/>
          <w:szCs w:val="20"/>
        </w:rPr>
        <w:t xml:space="preserve">Following review of real the source inspection platform exports, two field specification issues were identified: Blade Side values in source data use full descriptive names rather than two-character codes, and Serial Number (blade serial) is not consistently available in the source inspection platform exports and should not block uploads.</w:t>
      </w:r>
    </w:p>
    <w:p>
      <w:pPr>
        <w:spacing w:after="0" w:before="0"/>
      </w:pPr>
      <w:r>
        <w:t xml:space="preserve"/>
      </w:r>
    </w:p>
    <w:p>
      <w:pPr>
        <w:spacing w:after="60" w:before="200"/>
      </w:pPr>
      <w:r>
        <w:rPr>
          <w:rFonts w:ascii="Arial" w:cs="Arial" w:eastAsia="Arial" w:hAnsi="Arial"/>
          <w:b/>
          <w:bCs/>
          <w:color w:val="1A1A1A"/>
          <w:sz w:val="22"/>
          <w:szCs w:val="22"/>
        </w:rPr>
        <w:t xml:space="preserve">Changes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3000"/>
        <w:gridCol w:w="5160"/>
      </w:tblGrid>
      <w:tr>
        <w:trPr>
          <w:tblHeader/>
        </w:trPr>
        <w:tc>
          <w:tcPr>
            <w:tcW w:type="dxa" w:w="1200"/>
            <w:tcBorders>
              <w:top w:val="single" w:color="D0D7DE" w:sz="1"/>
              <w:left w:val="single" w:color="D0D7DE" w:sz="1"/>
              <w:bottom w:val="single" w:color="D0D7DE" w:sz="1"/>
              <w:right w:val="single" w:color="D0D7DE" w:sz="1"/>
            </w:tcBorders>
            <w:shd w:fill="1B5E8A" w:val="clear"/>
            <w:tcMar>
              <w:top w:type="dxa" w:w="80"/>
              <w:left w:type="dxa" w:w="120"/>
              <w:bottom w:type="dxa" w:w="80"/>
              <w:right w:type="dxa" w:w="120"/>
            </w:tcMar>
          </w:tcPr>
          <w:p>
            <w:r>
              <w:rPr>
                <w:rFonts w:ascii="Arial" w:cs="Arial" w:eastAsia="Arial" w:hAnsi="Arial"/>
                <w:b/>
                <w:bCs/>
                <w:color w:val="FFFFFF"/>
                <w:sz w:val="18"/>
                <w:szCs w:val="18"/>
              </w:rPr>
              <w:t xml:space="preserve">Type</w:t>
            </w:r>
          </w:p>
        </w:tc>
        <w:tc>
          <w:tcPr>
            <w:tcW w:type="dxa" w:w="3000"/>
            <w:tcBorders>
              <w:top w:val="single" w:color="D0D7DE" w:sz="1"/>
              <w:left w:val="single" w:color="D0D7DE" w:sz="1"/>
              <w:bottom w:val="single" w:color="D0D7DE" w:sz="1"/>
              <w:right w:val="single" w:color="D0D7DE" w:sz="1"/>
            </w:tcBorders>
            <w:shd w:fill="1B5E8A" w:val="clear"/>
            <w:tcMar>
              <w:top w:type="dxa" w:w="80"/>
              <w:left w:type="dxa" w:w="120"/>
              <w:bottom w:type="dxa" w:w="80"/>
              <w:right w:type="dxa" w:w="120"/>
            </w:tcMar>
          </w:tcPr>
          <w:p>
            <w:r>
              <w:rPr>
                <w:rFonts w:ascii="Arial" w:cs="Arial" w:eastAsia="Arial" w:hAnsi="Arial"/>
                <w:b/>
                <w:bCs/>
                <w:color w:val="FFFFFF"/>
                <w:sz w:val="18"/>
                <w:szCs w:val="18"/>
              </w:rPr>
              <w:t xml:space="preserve">Feature / Fix</w:t>
            </w:r>
          </w:p>
        </w:tc>
        <w:tc>
          <w:tcPr>
            <w:tcW w:type="dxa" w:w="5160"/>
            <w:tcBorders>
              <w:top w:val="single" w:color="D0D7DE" w:sz="1"/>
              <w:left w:val="single" w:color="D0D7DE" w:sz="1"/>
              <w:bottom w:val="single" w:color="D0D7DE" w:sz="1"/>
              <w:right w:val="single" w:color="D0D7DE" w:sz="1"/>
            </w:tcBorders>
            <w:shd w:fill="1B5E8A" w:val="clear"/>
            <w:tcMar>
              <w:top w:type="dxa" w:w="80"/>
              <w:left w:type="dxa" w:w="120"/>
              <w:bottom w:type="dxa" w:w="80"/>
              <w:right w:type="dxa" w:w="120"/>
            </w:tcMar>
          </w:tcPr>
          <w:p>
            <w:r>
              <w:rPr>
                <w:rFonts w:ascii="Arial" w:cs="Arial" w:eastAsia="Arial" w:hAnsi="Arial"/>
                <w:b/>
                <w:bCs/>
                <w:color w:val="FFFFFF"/>
                <w:sz w:val="18"/>
                <w:szCs w:val="18"/>
              </w:rPr>
              <w:t xml:space="preserve">Description</w:t>
            </w:r>
          </w:p>
        </w:tc>
      </w:tr>
      <w:tr>
        <w:tc>
          <w:tcPr>
            <w:tcW w:type="dxa" w:w="12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b/>
                <w:bCs/>
                <w:color w:val="1B5E8A"/>
                <w:sz w:val="18"/>
                <w:szCs w:val="18"/>
              </w:rPr>
              <w:t xml:space="preserve">Enhancement</w:t>
            </w:r>
          </w:p>
        </w:tc>
        <w:tc>
          <w:tcPr>
            <w:tcW w:type="dxa" w:w="30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b/>
                <w:bCs/>
                <w:color w:val="1A1A1A"/>
                <w:sz w:val="18"/>
                <w:szCs w:val="18"/>
              </w:rPr>
              <w:t xml:space="preserve">Blade Side expanded values</w:t>
            </w:r>
          </w:p>
        </w:tc>
        <w:tc>
          <w:tcPr>
            <w:tcW w:type="dxa" w:w="516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4A5568"/>
                <w:sz w:val="18"/>
                <w:szCs w:val="18"/>
              </w:rPr>
              <w:t xml:space="preserve">Validation updated to accept full names alongside codes: "PS" or "Pressure Side", "SS" or "Suction Side", "LE" or "Leading Edge", "TE" or "Trailing Edge". Case-insensitive matching applied.</w:t>
            </w:r>
          </w:p>
        </w:tc>
      </w:tr>
      <w:tr>
        <w:tc>
          <w:tcPr>
            <w:tcW w:type="dxa" w:w="12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b/>
                <w:bCs/>
                <w:color w:val="1B5E8A"/>
                <w:sz w:val="18"/>
                <w:szCs w:val="18"/>
              </w:rPr>
              <w:t xml:space="preserve">Enhancement</w:t>
            </w:r>
          </w:p>
        </w:tc>
        <w:tc>
          <w:tcPr>
            <w:tcW w:type="dxa" w:w="30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b/>
                <w:bCs/>
                <w:color w:val="1A1A1A"/>
                <w:sz w:val="18"/>
                <w:szCs w:val="18"/>
              </w:rPr>
              <w:t xml:space="preserve">Serial Number made optional</w:t>
            </w:r>
          </w:p>
        </w:tc>
        <w:tc>
          <w:tcPr>
            <w:tcW w:type="dxa" w:w="516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4A5568"/>
                <w:sz w:val="18"/>
                <w:szCs w:val="18"/>
              </w:rPr>
              <w:t xml:space="preserve">Serial Number demoted from Required (19 fields) to Conditional (4 fields). Empty Serial Number no longer flags any issue.</w:t>
            </w:r>
          </w:p>
        </w:tc>
      </w:tr>
      <w:tr>
        <w:tc>
          <w:tcPr>
            <w:tcW w:type="dxa" w:w="12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b/>
                <w:bCs/>
                <w:color w:val="1B5E8A"/>
                <w:sz w:val="18"/>
                <w:szCs w:val="18"/>
              </w:rPr>
              <w:t xml:space="preserve">Enhancement</w:t>
            </w:r>
          </w:p>
        </w:tc>
        <w:tc>
          <w:tcPr>
            <w:tcW w:type="dxa" w:w="30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b/>
                <w:bCs/>
                <w:color w:val="1A1A1A"/>
                <w:sz w:val="18"/>
                <w:szCs w:val="18"/>
              </w:rPr>
              <w:t xml:space="preserve">Required field count corrected</w:t>
            </w:r>
          </w:p>
        </w:tc>
        <w:tc>
          <w:tcPr>
            <w:tcW w:type="dxa" w:w="516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4A5568"/>
                <w:sz w:val="18"/>
                <w:szCs w:val="18"/>
              </w:rPr>
              <w:t xml:space="preserve">Sidebar updated from 19 to 18 required fields. Conditional count updated from 3 to 4.</w:t>
            </w:r>
          </w:p>
        </w:tc>
      </w:tr>
    </w:tbl>
    <w:p>
      <w:pPr>
        <w:spacing w:after="0" w:before="0"/>
      </w:pPr>
      <w:r>
        <w:t xml:space="preserve"/>
      </w:r>
    </w:p>
    <w:p>
      <w:pPr>
        <w:pStyle w:val="Heading2"/>
        <w:pBdr>
          <w:bottom w:val="single" w:color="00A97F" w:sz="4" w:space="4"/>
        </w:pBdr>
        <w:spacing w:after="80" w:before="280"/>
      </w:pPr>
      <w:r>
        <w:rPr>
          <w:rFonts w:ascii="Arial" w:cs="Arial" w:eastAsia="Arial" w:hAnsi="Arial"/>
          <w:b/>
          <w:bCs/>
          <w:color w:val="1B5E8A"/>
          <w:sz w:val="26"/>
          <w:szCs w:val="26"/>
        </w:rPr>
        <w:t xml:space="preserve">v2.0 — Conversion Engine &amp; XLSX Export</w:t>
      </w:r>
    </w:p>
    <w:p>
      <w:pPr>
        <w:spacing w:after="60" w:before="60"/>
      </w:pPr>
      <w:r>
        <w:rPr>
          <w:rFonts w:ascii="Arial" w:cs="Arial" w:eastAsia="Arial" w:hAnsi="Arial"/>
          <w:i/>
          <w:iCs/>
          <w:color w:val="4A5568"/>
          <w:sz w:val="20"/>
          <w:szCs w:val="20"/>
        </w:rPr>
        <w:t xml:space="preserve">Release Date: May 2026   ·   Status: Released</w:t>
      </w:r>
    </w:p>
    <w:p>
      <w:pPr>
        <w:spacing w:after="0" w:before="0"/>
      </w:pPr>
      <w:r>
        <w:t xml:space="preserve"/>
      </w:r>
    </w:p>
    <w:p>
      <w:pPr>
        <w:spacing w:after="60" w:before="200"/>
      </w:pPr>
      <w:r>
        <w:rPr>
          <w:rFonts w:ascii="Arial" w:cs="Arial" w:eastAsia="Arial" w:hAnsi="Arial"/>
          <w:b/>
          <w:bCs/>
          <w:color w:val="1A1A1A"/>
          <w:sz w:val="22"/>
          <w:szCs w:val="22"/>
        </w:rPr>
        <w:t xml:space="preserve">Background</w:t>
      </w:r>
    </w:p>
    <w:p>
      <w:pPr>
        <w:spacing w:after="60" w:before="60"/>
      </w:pPr>
      <w:r>
        <w:rPr>
          <w:rFonts w:ascii="Arial" w:cs="Arial" w:eastAsia="Arial" w:hAnsi="Arial"/>
          <w:color w:val="1A1A1A"/>
          <w:sz w:val="20"/>
          <w:szCs w:val="20"/>
        </w:rPr>
        <w:t xml:space="preserve">The core validation problem was solved, but data coordinators still needed to manually convert field values across three nomenclature systems before the data could be uploaded to the Internal Platform. The conversion logic was documented in a separate Excel spreadsheet with VLOOKUP formulas. This release embedded that conversion logic directly into the tool and produced a properly formatted output XLSX — eliminating the manual conversion step entirely.</w:t>
      </w:r>
    </w:p>
    <w:p>
      <w:pPr>
        <w:spacing w:after="0" w:before="0"/>
      </w:pPr>
      <w:r>
        <w:t xml:space="preserve"/>
      </w:r>
    </w:p>
    <w:p>
      <w:pPr>
        <w:spacing w:after="60" w:before="200"/>
      </w:pPr>
      <w:r>
        <w:rPr>
          <w:rFonts w:ascii="Arial" w:cs="Arial" w:eastAsia="Arial" w:hAnsi="Arial"/>
          <w:b/>
          <w:bCs/>
          <w:color w:val="1A1A1A"/>
          <w:sz w:val="22"/>
          <w:szCs w:val="22"/>
        </w:rPr>
        <w:t xml:space="preserve">Conversion Flow</w:t>
      </w:r>
    </w:p>
    <w:p>
      <w:pPr>
        <w:spacing w:after="60" w:before="60"/>
      </w:pPr>
      <w:r>
        <w:rPr>
          <w:rFonts w:ascii="Arial" w:cs="Arial" w:eastAsia="Arial" w:hAnsi="Arial"/>
          <w:b/>
          <w:bCs/>
          <w:color w:val="1A1A1A"/>
          <w:sz w:val="20"/>
          <w:szCs w:val="20"/>
        </w:rPr>
        <w:t xml:space="preserve">the source inspection platform export → the Internal Platform nomenclature → the Output Platform nomenclature</w:t>
      </w:r>
    </w:p>
    <w:p>
      <w:pPr>
        <w:spacing w:after="0" w:before="0"/>
      </w:pPr>
      <w:r>
        <w:t xml:space="preserve"/>
      </w:r>
    </w:p>
    <w:p>
      <w:pPr>
        <w:spacing w:after="60" w:before="200"/>
      </w:pPr>
      <w:r>
        <w:rPr>
          <w:rFonts w:ascii="Arial" w:cs="Arial" w:eastAsia="Arial" w:hAnsi="Arial"/>
          <w:b/>
          <w:bCs/>
          <w:color w:val="1A1A1A"/>
          <w:sz w:val="22"/>
          <w:szCs w:val="22"/>
        </w:rPr>
        <w:t xml:space="preserve">Changes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3000"/>
        <w:gridCol w:w="5160"/>
      </w:tblGrid>
      <w:tr>
        <w:trPr>
          <w:tblHeader/>
        </w:trPr>
        <w:tc>
          <w:tcPr>
            <w:tcW w:type="dxa" w:w="1200"/>
            <w:tcBorders>
              <w:top w:val="single" w:color="D0D7DE" w:sz="1"/>
              <w:left w:val="single" w:color="D0D7DE" w:sz="1"/>
              <w:bottom w:val="single" w:color="D0D7DE" w:sz="1"/>
              <w:right w:val="single" w:color="D0D7DE" w:sz="1"/>
            </w:tcBorders>
            <w:shd w:fill="1B5E8A" w:val="clear"/>
            <w:tcMar>
              <w:top w:type="dxa" w:w="80"/>
              <w:left w:type="dxa" w:w="120"/>
              <w:bottom w:type="dxa" w:w="80"/>
              <w:right w:type="dxa" w:w="120"/>
            </w:tcMar>
          </w:tcPr>
          <w:p>
            <w:r>
              <w:rPr>
                <w:rFonts w:ascii="Arial" w:cs="Arial" w:eastAsia="Arial" w:hAnsi="Arial"/>
                <w:b/>
                <w:bCs/>
                <w:color w:val="FFFFFF"/>
                <w:sz w:val="18"/>
                <w:szCs w:val="18"/>
              </w:rPr>
              <w:t xml:space="preserve">Type</w:t>
            </w:r>
          </w:p>
        </w:tc>
        <w:tc>
          <w:tcPr>
            <w:tcW w:type="dxa" w:w="3000"/>
            <w:tcBorders>
              <w:top w:val="single" w:color="D0D7DE" w:sz="1"/>
              <w:left w:val="single" w:color="D0D7DE" w:sz="1"/>
              <w:bottom w:val="single" w:color="D0D7DE" w:sz="1"/>
              <w:right w:val="single" w:color="D0D7DE" w:sz="1"/>
            </w:tcBorders>
            <w:shd w:fill="1B5E8A" w:val="clear"/>
            <w:tcMar>
              <w:top w:type="dxa" w:w="80"/>
              <w:left w:type="dxa" w:w="120"/>
              <w:bottom w:type="dxa" w:w="80"/>
              <w:right w:type="dxa" w:w="120"/>
            </w:tcMar>
          </w:tcPr>
          <w:p>
            <w:r>
              <w:rPr>
                <w:rFonts w:ascii="Arial" w:cs="Arial" w:eastAsia="Arial" w:hAnsi="Arial"/>
                <w:b/>
                <w:bCs/>
                <w:color w:val="FFFFFF"/>
                <w:sz w:val="18"/>
                <w:szCs w:val="18"/>
              </w:rPr>
              <w:t xml:space="preserve">Feature / Fix</w:t>
            </w:r>
          </w:p>
        </w:tc>
        <w:tc>
          <w:tcPr>
            <w:tcW w:type="dxa" w:w="5160"/>
            <w:tcBorders>
              <w:top w:val="single" w:color="D0D7DE" w:sz="1"/>
              <w:left w:val="single" w:color="D0D7DE" w:sz="1"/>
              <w:bottom w:val="single" w:color="D0D7DE" w:sz="1"/>
              <w:right w:val="single" w:color="D0D7DE" w:sz="1"/>
            </w:tcBorders>
            <w:shd w:fill="1B5E8A" w:val="clear"/>
            <w:tcMar>
              <w:top w:type="dxa" w:w="80"/>
              <w:left w:type="dxa" w:w="120"/>
              <w:bottom w:type="dxa" w:w="80"/>
              <w:right w:type="dxa" w:w="120"/>
            </w:tcMar>
          </w:tcPr>
          <w:p>
            <w:r>
              <w:rPr>
                <w:rFonts w:ascii="Arial" w:cs="Arial" w:eastAsia="Arial" w:hAnsi="Arial"/>
                <w:b/>
                <w:bCs/>
                <w:color w:val="FFFFFF"/>
                <w:sz w:val="18"/>
                <w:szCs w:val="18"/>
              </w:rPr>
              <w:t xml:space="preserve">Description</w:t>
            </w:r>
          </w:p>
        </w:tc>
      </w:tr>
      <w:tr>
        <w:tc>
          <w:tcPr>
            <w:tcW w:type="dxa" w:w="12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b/>
                <w:bCs/>
                <w:color w:val="27AE60"/>
                <w:sz w:val="18"/>
                <w:szCs w:val="18"/>
              </w:rPr>
              <w:t xml:space="preserve">Feature</w:t>
            </w:r>
          </w:p>
        </w:tc>
        <w:tc>
          <w:tcPr>
            <w:tcW w:type="dxa" w:w="30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b/>
                <w:bCs/>
                <w:color w:val="1A1A1A"/>
                <w:sz w:val="18"/>
                <w:szCs w:val="18"/>
              </w:rPr>
              <w:t xml:space="preserve">Input Component derivation</w:t>
            </w:r>
          </w:p>
        </w:tc>
        <w:tc>
          <w:tcPr>
            <w:tcW w:type="dxa" w:w="516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4A5568"/>
                <w:sz w:val="18"/>
                <w:szCs w:val="18"/>
              </w:rPr>
              <w:t xml:space="preserve">Concatenates Component + " - " + Material columns (if Material present) to produce the Input Component field used for Element lookup.</w:t>
            </w:r>
          </w:p>
        </w:tc>
      </w:tr>
      <w:tr>
        <w:tc>
          <w:tcPr>
            <w:tcW w:type="dxa" w:w="12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b/>
                <w:bCs/>
                <w:color w:val="27AE60"/>
                <w:sz w:val="18"/>
                <w:szCs w:val="18"/>
              </w:rPr>
              <w:t xml:space="preserve">Feature</w:t>
            </w:r>
          </w:p>
        </w:tc>
        <w:tc>
          <w:tcPr>
            <w:tcW w:type="dxa" w:w="30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b/>
                <w:bCs/>
                <w:color w:val="1A1A1A"/>
                <w:sz w:val="18"/>
                <w:szCs w:val="18"/>
              </w:rPr>
              <w:t xml:space="preserve">Input Damage Type derivation</w:t>
            </w:r>
          </w:p>
        </w:tc>
        <w:tc>
          <w:tcPr>
            <w:tcW w:type="dxa" w:w="516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4A5568"/>
                <w:sz w:val="18"/>
                <w:szCs w:val="18"/>
              </w:rPr>
              <w:t xml:space="preserve">Concatenates Type + " - " + Subtype columns (if Subtype present) to produce the Input Damage Type field used for Anomaly Type lookup.</w:t>
            </w:r>
          </w:p>
        </w:tc>
      </w:tr>
      <w:tr>
        <w:tc>
          <w:tcPr>
            <w:tcW w:type="dxa" w:w="12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b/>
                <w:bCs/>
                <w:color w:val="27AE60"/>
                <w:sz w:val="18"/>
                <w:szCs w:val="18"/>
              </w:rPr>
              <w:t xml:space="preserve">Feature</w:t>
            </w:r>
          </w:p>
        </w:tc>
        <w:tc>
          <w:tcPr>
            <w:tcW w:type="dxa" w:w="30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b/>
                <w:bCs/>
                <w:color w:val="1A1A1A"/>
                <w:sz w:val="18"/>
                <w:szCs w:val="18"/>
              </w:rPr>
              <w:t xml:space="preserve">Element conversion</w:t>
            </w:r>
          </w:p>
        </w:tc>
        <w:tc>
          <w:tcPr>
            <w:tcW w:type="dxa" w:w="516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4A5568"/>
                <w:sz w:val="18"/>
                <w:szCs w:val="18"/>
              </w:rPr>
              <w:t xml:space="preserve">Three-column output: Input Component → the organization Element (col B) + the OEM Element (col C) via lookup table.</w:t>
            </w:r>
          </w:p>
        </w:tc>
      </w:tr>
      <w:tr>
        <w:tc>
          <w:tcPr>
            <w:tcW w:type="dxa" w:w="12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b/>
                <w:bCs/>
                <w:color w:val="27AE60"/>
                <w:sz w:val="18"/>
                <w:szCs w:val="18"/>
              </w:rPr>
              <w:t xml:space="preserve">Feature</w:t>
            </w:r>
          </w:p>
        </w:tc>
        <w:tc>
          <w:tcPr>
            <w:tcW w:type="dxa" w:w="30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b/>
                <w:bCs/>
                <w:color w:val="1A1A1A"/>
                <w:sz w:val="18"/>
                <w:szCs w:val="18"/>
              </w:rPr>
              <w:t xml:space="preserve">Anomaly Type conversion</w:t>
            </w:r>
          </w:p>
        </w:tc>
        <w:tc>
          <w:tcPr>
            <w:tcW w:type="dxa" w:w="516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4A5568"/>
                <w:sz w:val="18"/>
                <w:szCs w:val="18"/>
              </w:rPr>
              <w:t xml:space="preserve">Three-column output: Input Damage Type → the organization Anomaly Type + the OEM Anomaly Type via lookup table.</w:t>
            </w:r>
          </w:p>
        </w:tc>
      </w:tr>
      <w:tr>
        <w:tc>
          <w:tcPr>
            <w:tcW w:type="dxa" w:w="12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b/>
                <w:bCs/>
                <w:color w:val="27AE60"/>
                <w:sz w:val="18"/>
                <w:szCs w:val="18"/>
              </w:rPr>
              <w:t xml:space="preserve">Feature</w:t>
            </w:r>
          </w:p>
        </w:tc>
        <w:tc>
          <w:tcPr>
            <w:tcW w:type="dxa" w:w="30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b/>
                <w:bCs/>
                <w:color w:val="1A1A1A"/>
                <w:sz w:val="18"/>
                <w:szCs w:val="18"/>
              </w:rPr>
              <w:t xml:space="preserve">Blade Side conversion</w:t>
            </w:r>
          </w:p>
        </w:tc>
        <w:tc>
          <w:tcPr>
            <w:tcW w:type="dxa" w:w="516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4A5568"/>
                <w:sz w:val="18"/>
                <w:szCs w:val="18"/>
              </w:rPr>
              <w:t xml:space="preserve">Direct lookup: Blade Side → the organization Blade Side + the OEM Blade Side. Handles Leeward→Suction Side, Windward→Pressure Side translations.</w:t>
            </w:r>
          </w:p>
        </w:tc>
      </w:tr>
      <w:tr>
        <w:tc>
          <w:tcPr>
            <w:tcW w:type="dxa" w:w="12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b/>
                <w:bCs/>
                <w:color w:val="27AE60"/>
                <w:sz w:val="18"/>
                <w:szCs w:val="18"/>
              </w:rPr>
              <w:t xml:space="preserve">Feature</w:t>
            </w:r>
          </w:p>
        </w:tc>
        <w:tc>
          <w:tcPr>
            <w:tcW w:type="dxa" w:w="30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b/>
                <w:bCs/>
                <w:color w:val="1A1A1A"/>
                <w:sz w:val="18"/>
                <w:szCs w:val="18"/>
              </w:rPr>
              <w:t xml:space="preserve">Manual Review status</w:t>
            </w:r>
          </w:p>
        </w:tc>
        <w:tc>
          <w:tcPr>
            <w:tcW w:type="dxa" w:w="516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4A5568"/>
                <w:sz w:val="18"/>
                <w:szCs w:val="18"/>
              </w:rPr>
              <w:t xml:space="preserve">Fourth status (amber). Triggered when a concatenated value cannot be matched in the conversion table. Original value preserved in output. Rows with unresolved Manual Reviews block XLSX export.</w:t>
            </w:r>
          </w:p>
        </w:tc>
      </w:tr>
      <w:tr>
        <w:tc>
          <w:tcPr>
            <w:tcW w:type="dxa" w:w="12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b/>
                <w:bCs/>
                <w:color w:val="27AE60"/>
                <w:sz w:val="18"/>
                <w:szCs w:val="18"/>
              </w:rPr>
              <w:t xml:space="preserve">Feature</w:t>
            </w:r>
          </w:p>
        </w:tc>
        <w:tc>
          <w:tcPr>
            <w:tcW w:type="dxa" w:w="30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b/>
                <w:bCs/>
                <w:color w:val="1A1A1A"/>
                <w:sz w:val="18"/>
                <w:szCs w:val="18"/>
              </w:rPr>
              <w:t xml:space="preserve">Human-in-the-loop resolution</w:t>
            </w:r>
          </w:p>
        </w:tc>
        <w:tc>
          <w:tcPr>
            <w:tcW w:type="dxa" w:w="516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4A5568"/>
                <w:sz w:val="18"/>
                <w:szCs w:val="18"/>
              </w:rPr>
              <w:t xml:space="preserve">Dropdown selector on each Manual Review row allows coordinator to pick the correct source platform value. Row flips to Resolved (green) on selection. Export unlocks when all resolved.</w:t>
            </w:r>
          </w:p>
        </w:tc>
      </w:tr>
      <w:tr>
        <w:tc>
          <w:tcPr>
            <w:tcW w:type="dxa" w:w="12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b/>
                <w:bCs/>
                <w:color w:val="27AE60"/>
                <w:sz w:val="18"/>
                <w:szCs w:val="18"/>
              </w:rPr>
              <w:t xml:space="preserve">Feature</w:t>
            </w:r>
          </w:p>
        </w:tc>
        <w:tc>
          <w:tcPr>
            <w:tcW w:type="dxa" w:w="30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b/>
                <w:bCs/>
                <w:color w:val="1A1A1A"/>
                <w:sz w:val="18"/>
                <w:szCs w:val="18"/>
              </w:rPr>
              <w:t xml:space="preserve">Export Converted XLSX</w:t>
            </w:r>
          </w:p>
        </w:tc>
        <w:tc>
          <w:tcPr>
            <w:tcW w:type="dxa" w:w="516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4A5568"/>
                <w:sz w:val="18"/>
                <w:szCs w:val="18"/>
              </w:rPr>
              <w:t xml:space="preserve">Produces a two-tab XLSX: "Damages Report" (all columns in amended Dataset A format with live VLOOKUP formulas) and "Conversions" (editable mapping table for Engineering).</w:t>
            </w:r>
          </w:p>
        </w:tc>
      </w:tr>
      <w:tr>
        <w:tc>
          <w:tcPr>
            <w:tcW w:type="dxa" w:w="12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b/>
                <w:bCs/>
                <w:color w:val="27AE60"/>
                <w:sz w:val="18"/>
                <w:szCs w:val="18"/>
              </w:rPr>
              <w:t xml:space="preserve">Feature</w:t>
            </w:r>
          </w:p>
        </w:tc>
        <w:tc>
          <w:tcPr>
            <w:tcW w:type="dxa" w:w="30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b/>
                <w:bCs/>
                <w:color w:val="1A1A1A"/>
                <w:sz w:val="18"/>
                <w:szCs w:val="18"/>
              </w:rPr>
              <w:t xml:space="preserve">Live VLOOKUP formulas</w:t>
            </w:r>
          </w:p>
        </w:tc>
        <w:tc>
          <w:tcPr>
            <w:tcW w:type="dxa" w:w="516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4A5568"/>
                <w:sz w:val="18"/>
                <w:szCs w:val="18"/>
              </w:rPr>
              <w:t xml:space="preserve">Derived columns in Damages Report tab reference Conversions tab via VLOOKUP. Engineering can add rows to Conversions tab and formulas update automatically.</w:t>
            </w:r>
          </w:p>
        </w:tc>
      </w:tr>
      <w:tr>
        <w:tc>
          <w:tcPr>
            <w:tcW w:type="dxa" w:w="12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b/>
                <w:bCs/>
                <w:color w:val="27AE60"/>
                <w:sz w:val="18"/>
                <w:szCs w:val="18"/>
              </w:rPr>
              <w:t xml:space="preserve">Feature</w:t>
            </w:r>
          </w:p>
        </w:tc>
        <w:tc>
          <w:tcPr>
            <w:tcW w:type="dxa" w:w="30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b/>
                <w:bCs/>
                <w:color w:val="1A1A1A"/>
                <w:sz w:val="18"/>
                <w:szCs w:val="18"/>
              </w:rPr>
              <w:t xml:space="preserve">Column normalisation</w:t>
            </w:r>
          </w:p>
        </w:tc>
        <w:tc>
          <w:tcPr>
            <w:tcW w:type="dxa" w:w="516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4A5568"/>
                <w:sz w:val="18"/>
                <w:szCs w:val="18"/>
              </w:rPr>
              <w:t xml:space="preserve">Column alias map handles naming variants across datasets: Date → Inspection Date, Turbine Serial Number → Serial Number, Links → Source Images, Blade Chamber → BladeChamber, Chord (%) → Chord(%).</w:t>
            </w:r>
          </w:p>
        </w:tc>
      </w:tr>
      <w:tr>
        <w:tc>
          <w:tcPr>
            <w:tcW w:type="dxa" w:w="12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b/>
                <w:bCs/>
                <w:color w:val="1B5E8A"/>
                <w:sz w:val="18"/>
                <w:szCs w:val="18"/>
              </w:rPr>
              <w:t xml:space="preserve">Enhancement</w:t>
            </w:r>
          </w:p>
        </w:tc>
        <w:tc>
          <w:tcPr>
            <w:tcW w:type="dxa" w:w="30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b/>
                <w:bCs/>
                <w:color w:val="1A1A1A"/>
                <w:sz w:val="18"/>
                <w:szCs w:val="18"/>
              </w:rPr>
              <w:t xml:space="preserve">Floating point cleanup</w:t>
            </w:r>
          </w:p>
        </w:tc>
        <w:tc>
          <w:tcPr>
            <w:tcW w:type="dxa" w:w="516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4A5568"/>
                <w:sz w:val="18"/>
                <w:szCs w:val="18"/>
              </w:rPr>
              <w:t xml:space="preserve">Numeric fields cleaned of floating-point noise on import (e.g. 7.0000000000000007E-2 → 0.07).</w:t>
            </w:r>
          </w:p>
        </w:tc>
      </w:tr>
      <w:tr>
        <w:tc>
          <w:tcPr>
            <w:tcW w:type="dxa" w:w="12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b/>
                <w:bCs/>
                <w:color w:val="1B5E8A"/>
                <w:sz w:val="18"/>
                <w:szCs w:val="18"/>
              </w:rPr>
              <w:t xml:space="preserve">Enhancement</w:t>
            </w:r>
          </w:p>
        </w:tc>
        <w:tc>
          <w:tcPr>
            <w:tcW w:type="dxa" w:w="30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b/>
                <w:bCs/>
                <w:color w:val="1A1A1A"/>
                <w:sz w:val="18"/>
                <w:szCs w:val="18"/>
              </w:rPr>
              <w:t xml:space="preserve">Blade letter extraction</w:t>
            </w:r>
          </w:p>
        </w:tc>
        <w:tc>
          <w:tcPr>
            <w:tcW w:type="dxa" w:w="516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4A5568"/>
                <w:sz w:val="18"/>
                <w:szCs w:val="18"/>
              </w:rPr>
              <w:t xml:space="preserve">Blade field populated from Asset column when empty (e.g. "Blade A: (No Serial Number)" → "A").</w:t>
            </w:r>
          </w:p>
        </w:tc>
      </w:tr>
      <w:tr>
        <w:tc>
          <w:tcPr>
            <w:tcW w:type="dxa" w:w="12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b/>
                <w:bCs/>
                <w:color w:val="1B5E8A"/>
                <w:sz w:val="18"/>
                <w:szCs w:val="18"/>
              </w:rPr>
              <w:t xml:space="preserve">Enhancement</w:t>
            </w:r>
          </w:p>
        </w:tc>
        <w:tc>
          <w:tcPr>
            <w:tcW w:type="dxa" w:w="30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b/>
                <w:bCs/>
                <w:color w:val="1A1A1A"/>
                <w:sz w:val="18"/>
                <w:szCs w:val="18"/>
              </w:rPr>
              <w:t xml:space="preserve">Auto-conversion counter</w:t>
            </w:r>
          </w:p>
        </w:tc>
        <w:tc>
          <w:tcPr>
            <w:tcW w:type="dxa" w:w="516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4A5568"/>
                <w:sz w:val="18"/>
                <w:szCs w:val="18"/>
              </w:rPr>
              <w:t xml:space="preserve">Summary panel shows count of fields successfully auto-converted and count of rows needing manual review.</w:t>
            </w:r>
          </w:p>
        </w:tc>
      </w:tr>
      <w:tr>
        <w:tc>
          <w:tcPr>
            <w:tcW w:type="dxa" w:w="12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b/>
                <w:bCs/>
                <w:color w:val="1B5E8A"/>
                <w:sz w:val="18"/>
                <w:szCs w:val="18"/>
              </w:rPr>
              <w:t xml:space="preserve">Enhancement</w:t>
            </w:r>
          </w:p>
        </w:tc>
        <w:tc>
          <w:tcPr>
            <w:tcW w:type="dxa" w:w="30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b/>
                <w:bCs/>
                <w:color w:val="1A1A1A"/>
                <w:sz w:val="18"/>
                <w:szCs w:val="18"/>
              </w:rPr>
              <w:t xml:space="preserve">Output filename</w:t>
            </w:r>
          </w:p>
        </w:tc>
        <w:tc>
          <w:tcPr>
            <w:tcW w:type="dxa" w:w="516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4A5568"/>
                <w:sz w:val="18"/>
                <w:szCs w:val="18"/>
              </w:rPr>
              <w:t xml:space="preserve">Exported XLSX named after input file with date suffix (e.g. source_dataset_converted_2026-05-01.xlsx).</w:t>
            </w:r>
          </w:p>
        </w:tc>
      </w:tr>
    </w:tbl>
    <w:p>
      <w:pPr>
        <w:spacing w:after="0" w:before="0"/>
      </w:pPr>
      <w:r>
        <w:t xml:space="preserve"/>
      </w:r>
    </w:p>
    <w:p>
      <w:pPr>
        <w:spacing w:after="60" w:before="200"/>
      </w:pPr>
      <w:r>
        <w:rPr>
          <w:rFonts w:ascii="Arial" w:cs="Arial" w:eastAsia="Arial" w:hAnsi="Arial"/>
          <w:b/>
          <w:bCs/>
          <w:color w:val="1A1A1A"/>
          <w:sz w:val="22"/>
          <w:szCs w:val="22"/>
        </w:rPr>
        <w:t xml:space="preserve">Known Issues at Release</w:t>
      </w:r>
    </w:p>
    <w:p>
      <w:pPr>
        <w:pStyle w:val="ListParagraph"/>
        <w:numPr>
          <w:ilvl w:val="0"/>
          <w:numId w:val="2"/>
        </w:numPr>
        <w:spacing w:after="40" w:before="40"/>
      </w:pPr>
      <w:r>
        <w:rPr>
          <w:rFonts w:ascii="Arial" w:cs="Arial" w:eastAsia="Arial" w:hAnsi="Arial"/>
          <w:b w:val="false"/>
          <w:bCs w:val="false"/>
          <w:color w:val="1A1A1A"/>
          <w:sz w:val="20"/>
          <w:szCs w:val="20"/>
        </w:rPr>
        <w:t xml:space="preserve">VLOOKUP row ranges in exported XLSX are hardcoded. If Engineering adds rows to the Conversions tab beyond existing ranges, row range references in the Damages Report formulas will need manual updating.</w:t>
      </w:r>
    </w:p>
    <w:p>
      <w:pPr>
        <w:pStyle w:val="ListParagraph"/>
        <w:numPr>
          <w:ilvl w:val="0"/>
          <w:numId w:val="2"/>
        </w:numPr>
        <w:spacing w:after="40" w:before="40"/>
      </w:pPr>
      <w:r>
        <w:rPr>
          <w:rFonts w:ascii="Arial" w:cs="Arial" w:eastAsia="Arial" w:hAnsi="Arial"/>
          <w:b w:val="false"/>
          <w:bCs w:val="false"/>
          <w:color w:val="1A1A1A"/>
          <w:sz w:val="20"/>
          <w:szCs w:val="20"/>
        </w:rPr>
        <w:t xml:space="preserve">ISBLANK() formula limitation identified post-release — fixed in v2.1.</w:t>
      </w:r>
    </w:p>
    <w:p>
      <w:pPr>
        <w:pStyle w:val="ListParagraph"/>
        <w:numPr>
          <w:ilvl w:val="0"/>
          <w:numId w:val="2"/>
        </w:numPr>
        <w:spacing w:after="40" w:before="40"/>
      </w:pPr>
      <w:r>
        <w:rPr>
          <w:rFonts w:ascii="Arial" w:cs="Arial" w:eastAsia="Arial" w:hAnsi="Arial"/>
          <w:b w:val="false"/>
          <w:bCs w:val="false"/>
          <w:color w:val="1A1A1A"/>
          <w:sz w:val="20"/>
          <w:szCs w:val="20"/>
        </w:rPr>
        <w:t xml:space="preserve">Single dataset format supported at release (Dataset A / the source inspection platform export structure). Multi-format support added in v2.1.</w:t>
      </w:r>
    </w:p>
    <w:p>
      <w:pPr>
        <w:spacing w:after="0" w:before="0"/>
      </w:pPr>
      <w:r>
        <w:t xml:space="preserve"/>
      </w:r>
    </w:p>
    <w:p>
      <w:pPr>
        <w:pStyle w:val="Heading2"/>
        <w:pBdr>
          <w:bottom w:val="single" w:color="00A97F" w:sz="4" w:space="4"/>
        </w:pBdr>
        <w:spacing w:after="80" w:before="280"/>
      </w:pPr>
      <w:r>
        <w:rPr>
          <w:rFonts w:ascii="Arial" w:cs="Arial" w:eastAsia="Arial" w:hAnsi="Arial"/>
          <w:b/>
          <w:bCs/>
          <w:color w:val="1B5E8A"/>
          <w:sz w:val="26"/>
          <w:szCs w:val="26"/>
        </w:rPr>
        <w:t xml:space="preserve">v2.1 — Multi-Format Support &amp; Formula Fix</w:t>
      </w:r>
    </w:p>
    <w:p>
      <w:pPr>
        <w:spacing w:after="60" w:before="60"/>
      </w:pPr>
      <w:r>
        <w:rPr>
          <w:rFonts w:ascii="Arial" w:cs="Arial" w:eastAsia="Arial" w:hAnsi="Arial"/>
          <w:i/>
          <w:iCs/>
          <w:color w:val="4A5568"/>
          <w:sz w:val="20"/>
          <w:szCs w:val="20"/>
        </w:rPr>
        <w:t xml:space="preserve">Release Date: May 2026   ·   Status: Released</w:t>
      </w:r>
    </w:p>
    <w:p>
      <w:pPr>
        <w:spacing w:after="0" w:before="0"/>
      </w:pPr>
      <w:r>
        <w:t xml:space="preserve"/>
      </w:r>
    </w:p>
    <w:p>
      <w:pPr>
        <w:spacing w:after="60" w:before="200"/>
      </w:pPr>
      <w:r>
        <w:rPr>
          <w:rFonts w:ascii="Arial" w:cs="Arial" w:eastAsia="Arial" w:hAnsi="Arial"/>
          <w:b/>
          <w:bCs/>
          <w:color w:val="1A1A1A"/>
          <w:sz w:val="22"/>
          <w:szCs w:val="22"/>
        </w:rPr>
        <w:t xml:space="preserve">Background</w:t>
      </w:r>
    </w:p>
    <w:p>
      <w:pPr>
        <w:spacing w:after="60" w:before="60"/>
      </w:pPr>
      <w:r>
        <w:rPr>
          <w:rFonts w:ascii="Arial" w:cs="Arial" w:eastAsia="Arial" w:hAnsi="Arial"/>
          <w:color w:val="1A1A1A"/>
          <w:sz w:val="20"/>
          <w:szCs w:val="20"/>
        </w:rPr>
        <w:t xml:space="preserve">Testing with the Dataset B dataset revealed two issues: (1) Dataset B exports use a different column structure to Dataset A — Component + Element rather than Component + Material, and Anomaly Type + Subtype rather than Type + Subtype — causing widespread false Manual Review flags. (2) A formula bug in the exported XLSX caused rows with an empty Subtype field to produce "Crack - " instead of "Crack" — because Excel's ISBLANK() returns FALSE for cells containing empty strings, which SheetJS writes for all empty cells.</w:t>
      </w:r>
    </w:p>
    <w:p>
      <w:pPr>
        <w:spacing w:after="0" w:before="0"/>
      </w:pPr>
      <w:r>
        <w:t xml:space="preserve"/>
      </w:r>
    </w:p>
    <w:p>
      <w:pPr>
        <w:spacing w:after="60" w:before="200"/>
      </w:pPr>
      <w:r>
        <w:rPr>
          <w:rFonts w:ascii="Arial" w:cs="Arial" w:eastAsia="Arial" w:hAnsi="Arial"/>
          <w:b/>
          <w:bCs/>
          <w:color w:val="1A1A1A"/>
          <w:sz w:val="22"/>
          <w:szCs w:val="22"/>
        </w:rPr>
        <w:t xml:space="preserve">Changes</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1200"/>
        <w:gridCol w:w="3000"/>
        <w:gridCol w:w="5160"/>
      </w:tblGrid>
      <w:tr>
        <w:trPr>
          <w:tblHeader/>
        </w:trPr>
        <w:tc>
          <w:tcPr>
            <w:tcW w:type="dxa" w:w="1200"/>
            <w:tcBorders>
              <w:top w:val="single" w:color="D0D7DE" w:sz="1"/>
              <w:left w:val="single" w:color="D0D7DE" w:sz="1"/>
              <w:bottom w:val="single" w:color="D0D7DE" w:sz="1"/>
              <w:right w:val="single" w:color="D0D7DE" w:sz="1"/>
            </w:tcBorders>
            <w:shd w:fill="1B5E8A" w:val="clear"/>
            <w:tcMar>
              <w:top w:type="dxa" w:w="80"/>
              <w:left w:type="dxa" w:w="120"/>
              <w:bottom w:type="dxa" w:w="80"/>
              <w:right w:type="dxa" w:w="120"/>
            </w:tcMar>
          </w:tcPr>
          <w:p>
            <w:r>
              <w:rPr>
                <w:rFonts w:ascii="Arial" w:cs="Arial" w:eastAsia="Arial" w:hAnsi="Arial"/>
                <w:b/>
                <w:bCs/>
                <w:color w:val="FFFFFF"/>
                <w:sz w:val="18"/>
                <w:szCs w:val="18"/>
              </w:rPr>
              <w:t xml:space="preserve">Type</w:t>
            </w:r>
          </w:p>
        </w:tc>
        <w:tc>
          <w:tcPr>
            <w:tcW w:type="dxa" w:w="3000"/>
            <w:tcBorders>
              <w:top w:val="single" w:color="D0D7DE" w:sz="1"/>
              <w:left w:val="single" w:color="D0D7DE" w:sz="1"/>
              <w:bottom w:val="single" w:color="D0D7DE" w:sz="1"/>
              <w:right w:val="single" w:color="D0D7DE" w:sz="1"/>
            </w:tcBorders>
            <w:shd w:fill="1B5E8A" w:val="clear"/>
            <w:tcMar>
              <w:top w:type="dxa" w:w="80"/>
              <w:left w:type="dxa" w:w="120"/>
              <w:bottom w:type="dxa" w:w="80"/>
              <w:right w:type="dxa" w:w="120"/>
            </w:tcMar>
          </w:tcPr>
          <w:p>
            <w:r>
              <w:rPr>
                <w:rFonts w:ascii="Arial" w:cs="Arial" w:eastAsia="Arial" w:hAnsi="Arial"/>
                <w:b/>
                <w:bCs/>
                <w:color w:val="FFFFFF"/>
                <w:sz w:val="18"/>
                <w:szCs w:val="18"/>
              </w:rPr>
              <w:t xml:space="preserve">Feature / Fix</w:t>
            </w:r>
          </w:p>
        </w:tc>
        <w:tc>
          <w:tcPr>
            <w:tcW w:type="dxa" w:w="5160"/>
            <w:tcBorders>
              <w:top w:val="single" w:color="D0D7DE" w:sz="1"/>
              <w:left w:val="single" w:color="D0D7DE" w:sz="1"/>
              <w:bottom w:val="single" w:color="D0D7DE" w:sz="1"/>
              <w:right w:val="single" w:color="D0D7DE" w:sz="1"/>
            </w:tcBorders>
            <w:shd w:fill="1B5E8A" w:val="clear"/>
            <w:tcMar>
              <w:top w:type="dxa" w:w="80"/>
              <w:left w:type="dxa" w:w="120"/>
              <w:bottom w:type="dxa" w:w="80"/>
              <w:right w:type="dxa" w:w="120"/>
            </w:tcMar>
          </w:tcPr>
          <w:p>
            <w:r>
              <w:rPr>
                <w:rFonts w:ascii="Arial" w:cs="Arial" w:eastAsia="Arial" w:hAnsi="Arial"/>
                <w:b/>
                <w:bCs/>
                <w:color w:val="FFFFFF"/>
                <w:sz w:val="18"/>
                <w:szCs w:val="18"/>
              </w:rPr>
              <w:t xml:space="preserve">Description</w:t>
            </w:r>
          </w:p>
        </w:tc>
      </w:tr>
      <w:tr>
        <w:tc>
          <w:tcPr>
            <w:tcW w:type="dxa" w:w="12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b/>
                <w:bCs/>
                <w:color w:val="C0392B"/>
                <w:sz w:val="18"/>
                <w:szCs w:val="18"/>
              </w:rPr>
              <w:t xml:space="preserve">Fix</w:t>
            </w:r>
          </w:p>
        </w:tc>
        <w:tc>
          <w:tcPr>
            <w:tcW w:type="dxa" w:w="30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b/>
                <w:bCs/>
                <w:color w:val="1A1A1A"/>
                <w:sz w:val="18"/>
                <w:szCs w:val="18"/>
              </w:rPr>
              <w:t xml:space="preserve">ISBLANK → LEN() fix</w:t>
            </w:r>
          </w:p>
        </w:tc>
        <w:tc>
          <w:tcPr>
            <w:tcW w:type="dxa" w:w="516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4A5568"/>
                <w:sz w:val="18"/>
                <w:szCs w:val="18"/>
              </w:rPr>
              <w:t xml:space="preserve">Excel formulas in exported XLSX changed from IF(ISBLANK(Subtype),...) to IF(LEN(Subtype)=0,...). LEN()=0 correctly handles both truly blank cells and empty string cells written by SheetJS.</w:t>
            </w:r>
          </w:p>
        </w:tc>
      </w:tr>
      <w:tr>
        <w:tc>
          <w:tcPr>
            <w:tcW w:type="dxa" w:w="12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b/>
                <w:bCs/>
                <w:color w:val="C0392B"/>
                <w:sz w:val="18"/>
                <w:szCs w:val="18"/>
              </w:rPr>
              <w:t xml:space="preserve">Fix</w:t>
            </w:r>
          </w:p>
        </w:tc>
        <w:tc>
          <w:tcPr>
            <w:tcW w:type="dxa" w:w="30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b/>
                <w:bCs/>
                <w:color w:val="1A1A1A"/>
                <w:sz w:val="18"/>
                <w:szCs w:val="18"/>
              </w:rPr>
              <w:t xml:space="preserve">Dataset B Element column</w:t>
            </w:r>
          </w:p>
        </w:tc>
        <w:tc>
          <w:tcPr>
            <w:tcW w:type="dxa" w:w="516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4A5568"/>
                <w:sz w:val="18"/>
                <w:szCs w:val="18"/>
              </w:rPr>
              <w:t xml:space="preserve">Tool now detects whether Material column is present. If absent, falls back to Element column as the component suffix. Produces correct Input Component concatenation for both dataset structures.</w:t>
            </w:r>
          </w:p>
        </w:tc>
      </w:tr>
      <w:tr>
        <w:tc>
          <w:tcPr>
            <w:tcW w:type="dxa" w:w="12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b/>
                <w:bCs/>
                <w:color w:val="C0392B"/>
                <w:sz w:val="18"/>
                <w:szCs w:val="18"/>
              </w:rPr>
              <w:t xml:space="preserve">Fix</w:t>
            </w:r>
          </w:p>
        </w:tc>
        <w:tc>
          <w:tcPr>
            <w:tcW w:type="dxa" w:w="30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b/>
                <w:bCs/>
                <w:color w:val="1A1A1A"/>
                <w:sz w:val="18"/>
                <w:szCs w:val="18"/>
              </w:rPr>
              <w:t xml:space="preserve">Dataset B Anomaly Type column</w:t>
            </w:r>
          </w:p>
        </w:tc>
        <w:tc>
          <w:tcPr>
            <w:tcW w:type="dxa" w:w="516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4A5568"/>
                <w:sz w:val="18"/>
                <w:szCs w:val="18"/>
              </w:rPr>
              <w:t xml:space="preserve">Tool now reads Type column when present; falls back to Anomaly Type column when Type is absent. Handles both Dataset A (Type + Subtype) and Dataset B (Anomaly Type + Subtype) structures correctly.</w:t>
            </w:r>
          </w:p>
        </w:tc>
      </w:tr>
      <w:tr>
        <w:tc>
          <w:tcPr>
            <w:tcW w:type="dxa" w:w="12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b/>
                <w:bCs/>
                <w:color w:val="C0392B"/>
                <w:sz w:val="18"/>
                <w:szCs w:val="18"/>
              </w:rPr>
              <w:t xml:space="preserve">Fix</w:t>
            </w:r>
          </w:p>
        </w:tc>
        <w:tc>
          <w:tcPr>
            <w:tcW w:type="dxa" w:w="30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b/>
                <w:bCs/>
                <w:color w:val="1A1A1A"/>
                <w:sz w:val="18"/>
                <w:szCs w:val="18"/>
              </w:rPr>
              <w:t xml:space="preserve">Blade field normalisation</w:t>
            </w:r>
          </w:p>
        </w:tc>
        <w:tc>
          <w:tcPr>
            <w:tcW w:type="dxa" w:w="516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color w:val="4A5568"/>
                <w:sz w:val="18"/>
                <w:szCs w:val="18"/>
              </w:rPr>
              <w:t xml:space="preserve">Dataset B stores full label in Blade column (e.g. "Blade A"). Tool now strips label prefix and retains just the letter ("A") for both column formats and Asset-field extraction.</w:t>
            </w:r>
          </w:p>
        </w:tc>
      </w:tr>
      <w:tr>
        <w:tc>
          <w:tcPr>
            <w:tcW w:type="dxa" w:w="12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b/>
                <w:bCs/>
                <w:color w:val="1B5E8A"/>
                <w:sz w:val="18"/>
                <w:szCs w:val="18"/>
              </w:rPr>
              <w:t xml:space="preserve">Enhancement</w:t>
            </w:r>
          </w:p>
        </w:tc>
        <w:tc>
          <w:tcPr>
            <w:tcW w:type="dxa" w:w="30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b/>
                <w:bCs/>
                <w:color w:val="1A1A1A"/>
                <w:sz w:val="18"/>
                <w:szCs w:val="18"/>
              </w:rPr>
              <w:t xml:space="preserve">Column alias expansion</w:t>
            </w:r>
          </w:p>
        </w:tc>
        <w:tc>
          <w:tcPr>
            <w:tcW w:type="dxa" w:w="516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color w:val="4A5568"/>
                <w:sz w:val="18"/>
                <w:szCs w:val="18"/>
              </w:rPr>
              <w:t xml:space="preserve">COL_ALIASES map extended with additional variants: Inspection Date, BladeChamber, Chord(%), Source Images (all pass-through aliases for fields already correctly named in some datasets).</w:t>
            </w:r>
          </w:p>
        </w:tc>
      </w:tr>
    </w:tbl>
    <w:p>
      <w:pPr>
        <w:spacing w:after="0" w:before="0"/>
      </w:pPr>
      <w:r>
        <w:t xml:space="preserve"/>
      </w:r>
    </w:p>
    <w:p>
      <w:pPr>
        <w:spacing w:after="60" w:before="200"/>
      </w:pPr>
      <w:r>
        <w:rPr>
          <w:rFonts w:ascii="Arial" w:cs="Arial" w:eastAsia="Arial" w:hAnsi="Arial"/>
          <w:b/>
          <w:bCs/>
          <w:color w:val="1A1A1A"/>
          <w:sz w:val="22"/>
          <w:szCs w:val="22"/>
        </w:rPr>
        <w:t xml:space="preserve">Datasets Validated</w:t>
      </w:r>
    </w:p>
    <w:p>
      <w:pPr>
        <w:spacing w:after="60" w:before="60"/>
      </w:pPr>
      <w:r>
        <w:rPr>
          <w:rFonts w:ascii="Arial" w:cs="Arial" w:eastAsia="Arial" w:hAnsi="Arial"/>
          <w:color w:val="1A1A1A"/>
          <w:sz w:val="20"/>
          <w:szCs w:val="20"/>
        </w:rPr>
        <w:t xml:space="preserve">The following real-world datasets were used to validate correct behavior across both supported formats:</w:t>
      </w:r>
    </w:p>
    <w:p>
      <w:pPr>
        <w:pStyle w:val="ListParagraph"/>
        <w:numPr>
          <w:ilvl w:val="0"/>
          <w:numId w:val="2"/>
        </w:numPr>
        <w:spacing w:after="40" w:before="40"/>
      </w:pPr>
      <w:r>
        <w:rPr>
          <w:rFonts w:ascii="Arial" w:cs="Arial" w:eastAsia="Arial" w:hAnsi="Arial"/>
          <w:b w:val="false"/>
          <w:bCs w:val="false"/>
          <w:color w:val="1A1A1A"/>
          <w:sz w:val="20"/>
          <w:szCs w:val="20"/>
        </w:rPr>
        <w:t xml:space="preserve">Dataset A I &amp; II — the source inspection platform export (Component + Material, Type + Subtype structure)</w:t>
      </w:r>
    </w:p>
    <w:p>
      <w:pPr>
        <w:pStyle w:val="ListParagraph"/>
        <w:numPr>
          <w:ilvl w:val="0"/>
          <w:numId w:val="2"/>
        </w:numPr>
        <w:spacing w:after="40" w:before="40"/>
      </w:pPr>
      <w:r>
        <w:rPr>
          <w:rFonts w:ascii="Arial" w:cs="Arial" w:eastAsia="Arial" w:hAnsi="Arial"/>
          <w:b w:val="false"/>
          <w:bCs w:val="false"/>
          <w:color w:val="1A1A1A"/>
          <w:sz w:val="20"/>
          <w:szCs w:val="20"/>
        </w:rPr>
        <w:t xml:space="preserve">Dataset B — the source inspection platform export (Component + Element, Anomaly Type + Subtype structure)</w:t>
      </w:r>
    </w:p>
    <w:p>
      <w:pPr>
        <w:spacing w:after="0" w:before="0"/>
      </w:pPr>
      <w:r>
        <w:t xml:space="preserve"/>
      </w:r>
    </w:p>
    <w:p>
      <w:pPr>
        <w:pStyle w:val="Heading2"/>
        <w:pBdr>
          <w:bottom w:val="single" w:color="00A97F" w:sz="4" w:space="4"/>
        </w:pBdr>
        <w:spacing w:after="80" w:before="280"/>
      </w:pPr>
      <w:r>
        <w:rPr>
          <w:rFonts w:ascii="Arial" w:cs="Arial" w:eastAsia="Arial" w:hAnsi="Arial"/>
          <w:b/>
          <w:bCs/>
          <w:color w:val="1B5E8A"/>
          <w:sz w:val="26"/>
          <w:szCs w:val="26"/>
        </w:rPr>
        <w:t xml:space="preserve">Deployment</w:t>
      </w:r>
    </w:p>
    <w:p>
      <w:pPr>
        <w:spacing w:after="60" w:before="60"/>
      </w:pPr>
      <w:r>
        <w:rPr>
          <w:rFonts w:ascii="Arial" w:cs="Arial" w:eastAsia="Arial" w:hAnsi="Arial"/>
          <w:color w:val="1A1A1A"/>
          <w:sz w:val="20"/>
          <w:szCs w:val="20"/>
        </w:rPr>
        <w:t xml:space="preserve">The tool is distributed as a single self-contained HTML file with no server, installation, or authentication required. All processing runs client-side in the browser. No inspection data is transmitted externally.</w:t>
      </w:r>
    </w:p>
    <w:p>
      <w:pPr>
        <w:spacing w:after="0" w:before="0"/>
      </w:pPr>
      <w:r>
        <w:t xml:space="preserve"/>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400"/>
        <w:gridCol w:w="6960"/>
      </w:tblGrid>
      <w:tr>
        <w:trPr>
          <w:tblHeader/>
        </w:trPr>
        <w:tc>
          <w:tcPr>
            <w:tcW w:type="dxa" w:w="2400"/>
            <w:tcBorders>
              <w:top w:val="single" w:color="D0D7DE" w:sz="1"/>
              <w:left w:val="single" w:color="D0D7DE" w:sz="1"/>
              <w:bottom w:val="single" w:color="D0D7DE" w:sz="1"/>
              <w:right w:val="single" w:color="D0D7DE" w:sz="1"/>
            </w:tcBorders>
            <w:shd w:fill="0D3349" w:val="clear"/>
            <w:tcMar>
              <w:top w:type="dxa" w:w="80"/>
              <w:left w:type="dxa" w:w="120"/>
              <w:bottom w:type="dxa" w:w="80"/>
              <w:right w:type="dxa" w:w="120"/>
            </w:tcMar>
          </w:tcPr>
          <w:p>
            <w:r>
              <w:rPr>
                <w:rFonts w:ascii="Arial" w:cs="Arial" w:eastAsia="Arial" w:hAnsi="Arial"/>
                <w:b/>
                <w:bCs/>
                <w:color w:val="FFFFFF"/>
                <w:sz w:val="18"/>
                <w:szCs w:val="18"/>
              </w:rPr>
              <w:t xml:space="preserve">Property</w:t>
            </w:r>
          </w:p>
        </w:tc>
        <w:tc>
          <w:tcPr>
            <w:tcW w:type="dxa" w:w="6960"/>
            <w:tcBorders>
              <w:top w:val="single" w:color="D0D7DE" w:sz="1"/>
              <w:left w:val="single" w:color="D0D7DE" w:sz="1"/>
              <w:bottom w:val="single" w:color="D0D7DE" w:sz="1"/>
              <w:right w:val="single" w:color="D0D7DE" w:sz="1"/>
            </w:tcBorders>
            <w:shd w:fill="0D3349" w:val="clear"/>
            <w:tcMar>
              <w:top w:type="dxa" w:w="80"/>
              <w:left w:type="dxa" w:w="120"/>
              <w:bottom w:type="dxa" w:w="80"/>
              <w:right w:type="dxa" w:w="120"/>
            </w:tcMar>
          </w:tcPr>
          <w:p>
            <w:r>
              <w:rPr>
                <w:rFonts w:ascii="Arial" w:cs="Arial" w:eastAsia="Arial" w:hAnsi="Arial"/>
                <w:b/>
                <w:bCs/>
                <w:color w:val="FFFFFF"/>
                <w:sz w:val="18"/>
                <w:szCs w:val="18"/>
              </w:rPr>
              <w:t xml:space="preserve">Detail</w:t>
            </w:r>
          </w:p>
        </w:tc>
      </w:tr>
      <w:tr>
        <w:tc>
          <w:tcPr>
            <w:tcW w:type="dxa" w:w="24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b/>
                <w:bCs/>
                <w:color w:val="1A1A1A"/>
                <w:sz w:val="18"/>
                <w:szCs w:val="18"/>
              </w:rPr>
              <w:t xml:space="preserve">Distribution</w:t>
            </w:r>
          </w:p>
        </w:tc>
        <w:tc>
          <w:tcPr>
            <w:tcW w:type="dxa" w:w="696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b w:val="false"/>
                <w:bCs w:val="false"/>
                <w:color w:val="4A5568"/>
                <w:sz w:val="18"/>
                <w:szCs w:val="18"/>
              </w:rPr>
              <w:t xml:space="preserve">Shared Google Drive folder — download and open in any modern browser</w:t>
            </w:r>
          </w:p>
        </w:tc>
      </w:tr>
      <w:tr>
        <w:tc>
          <w:tcPr>
            <w:tcW w:type="dxa" w:w="24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b/>
                <w:bCs/>
                <w:color w:val="1A1A1A"/>
                <w:sz w:val="18"/>
                <w:szCs w:val="18"/>
              </w:rPr>
              <w:t xml:space="preserve">Dependencies</w:t>
            </w:r>
          </w:p>
        </w:tc>
        <w:tc>
          <w:tcPr>
            <w:tcW w:type="dxa" w:w="696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b w:val="false"/>
                <w:bCs w:val="false"/>
                <w:color w:val="4A5568"/>
                <w:sz w:val="18"/>
                <w:szCs w:val="18"/>
              </w:rPr>
              <w:t xml:space="preserve">SheetJS (XLSX library) loaded from CDN on first use</w:t>
            </w:r>
          </w:p>
        </w:tc>
      </w:tr>
      <w:tr>
        <w:tc>
          <w:tcPr>
            <w:tcW w:type="dxa" w:w="24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b/>
                <w:bCs/>
                <w:color w:val="1A1A1A"/>
                <w:sz w:val="18"/>
                <w:szCs w:val="18"/>
              </w:rPr>
              <w:t xml:space="preserve">Browser support</w:t>
            </w:r>
          </w:p>
        </w:tc>
        <w:tc>
          <w:tcPr>
            <w:tcW w:type="dxa" w:w="696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b w:val="false"/>
                <w:bCs w:val="false"/>
                <w:color w:val="4A5568"/>
                <w:sz w:val="18"/>
                <w:szCs w:val="18"/>
              </w:rPr>
              <w:t xml:space="preserve">Chrome, Edge, Firefox, Safari (any modern version)</w:t>
            </w:r>
          </w:p>
        </w:tc>
      </w:tr>
      <w:tr>
        <w:tc>
          <w:tcPr>
            <w:tcW w:type="dxa" w:w="24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b/>
                <w:bCs/>
                <w:color w:val="1A1A1A"/>
                <w:sz w:val="18"/>
                <w:szCs w:val="18"/>
              </w:rPr>
              <w:t xml:space="preserve">Data privacy</w:t>
            </w:r>
          </w:p>
        </w:tc>
        <w:tc>
          <w:tcPr>
            <w:tcW w:type="dxa" w:w="696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b w:val="false"/>
                <w:bCs w:val="false"/>
                <w:color w:val="4A5568"/>
                <w:sz w:val="18"/>
                <w:szCs w:val="18"/>
              </w:rPr>
              <w:t xml:space="preserve">All processing client-side. No data uploaded or transmitted.</w:t>
            </w:r>
          </w:p>
        </w:tc>
      </w:tr>
      <w:tr>
        <w:tc>
          <w:tcPr>
            <w:tcW w:type="dxa" w:w="24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b/>
                <w:bCs/>
                <w:color w:val="1A1A1A"/>
                <w:sz w:val="18"/>
                <w:szCs w:val="18"/>
              </w:rPr>
              <w:t xml:space="preserve">File formats supported</w:t>
            </w:r>
          </w:p>
        </w:tc>
        <w:tc>
          <w:tcPr>
            <w:tcW w:type="dxa" w:w="696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b w:val="false"/>
                <w:bCs w:val="false"/>
                <w:color w:val="4A5568"/>
                <w:sz w:val="18"/>
                <w:szCs w:val="18"/>
              </w:rPr>
              <w:t xml:space="preserve">CSV (UTF-8), XLSX, XLS</w:t>
            </w:r>
          </w:p>
        </w:tc>
      </w:tr>
      <w:tr>
        <w:tc>
          <w:tcPr>
            <w:tcW w:type="dxa" w:w="240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b/>
                <w:bCs/>
                <w:color w:val="1A1A1A"/>
                <w:sz w:val="18"/>
                <w:szCs w:val="18"/>
              </w:rPr>
              <w:t xml:space="preserve">Typical dataset size</w:t>
            </w:r>
          </w:p>
        </w:tc>
        <w:tc>
          <w:tcPr>
            <w:tcW w:type="dxa" w:w="6960"/>
            <w:tcBorders>
              <w:top w:val="single" w:color="D0D7DE" w:sz="1"/>
              <w:left w:val="single" w:color="D0D7DE" w:sz="1"/>
              <w:bottom w:val="single" w:color="D0D7DE" w:sz="1"/>
              <w:right w:val="single" w:color="D0D7DE" w:sz="1"/>
            </w:tcBorders>
            <w:shd w:fill="F4F6F8" w:val="clear"/>
            <w:tcMar>
              <w:top w:type="dxa" w:w="80"/>
              <w:left w:type="dxa" w:w="120"/>
              <w:bottom w:type="dxa" w:w="80"/>
              <w:right w:type="dxa" w:w="120"/>
            </w:tcMar>
          </w:tcPr>
          <w:p>
            <w:r>
              <w:rPr>
                <w:rFonts w:ascii="Arial" w:cs="Arial" w:eastAsia="Arial" w:hAnsi="Arial"/>
                <w:b w:val="false"/>
                <w:bCs w:val="false"/>
                <w:color w:val="4A5568"/>
                <w:sz w:val="18"/>
                <w:szCs w:val="18"/>
              </w:rPr>
              <w:t xml:space="preserve">50–500 rows per upload; tested up to ~400 rows</w:t>
            </w:r>
          </w:p>
        </w:tc>
      </w:tr>
      <w:tr>
        <w:tc>
          <w:tcPr>
            <w:tcW w:type="dxa" w:w="240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b/>
                <w:bCs/>
                <w:color w:val="1A1A1A"/>
                <w:sz w:val="18"/>
                <w:szCs w:val="18"/>
              </w:rPr>
              <w:t xml:space="preserve">Output</w:t>
            </w:r>
          </w:p>
        </w:tc>
        <w:tc>
          <w:tcPr>
            <w:tcW w:type="dxa" w:w="6960"/>
            <w:tcBorders>
              <w:top w:val="single" w:color="D0D7DE" w:sz="1"/>
              <w:left w:val="single" w:color="D0D7DE" w:sz="1"/>
              <w:bottom w:val="single" w:color="D0D7DE" w:sz="1"/>
              <w:right w:val="single" w:color="D0D7DE" w:sz="1"/>
            </w:tcBorders>
            <w:shd w:fill="FFFFFF" w:val="clear"/>
            <w:tcMar>
              <w:top w:type="dxa" w:w="80"/>
              <w:left w:type="dxa" w:w="120"/>
              <w:bottom w:type="dxa" w:w="80"/>
              <w:right w:type="dxa" w:w="120"/>
            </w:tcMar>
          </w:tcPr>
          <w:p>
            <w:r>
              <w:rPr>
                <w:rFonts w:ascii="Arial" w:cs="Arial" w:eastAsia="Arial" w:hAnsi="Arial"/>
                <w:b w:val="false"/>
                <w:bCs w:val="false"/>
                <w:color w:val="4A5568"/>
                <w:sz w:val="18"/>
                <w:szCs w:val="18"/>
              </w:rPr>
              <w:t xml:space="preserve">XLSX (two-tab working document) + optional CSV validation report</w:t>
            </w:r>
          </w:p>
        </w:tc>
      </w:tr>
    </w:tbl>
    <w:p>
      <w:pPr>
        <w:spacing w:after="0" w:before="0"/>
      </w:pPr>
      <w:r>
        <w:t xml:space="preserve"/>
      </w:r>
    </w:p>
    <w:p>
      <w:pPr>
        <w:spacing w:after="0" w:before="0"/>
      </w:pPr>
      <w:r>
        <w:t xml:space="preserve"/>
      </w:r>
    </w:p>
    <w:p>
      <w:pPr>
        <w:pBdr>
          <w:top w:val="single" w:color="D0D7DE" w:sz="4" w:space="4"/>
        </w:pBdr>
        <w:spacing w:after="0" w:before="240"/>
      </w:pPr>
      <w:r>
        <w:rPr>
          <w:rFonts w:ascii="Arial" w:cs="Arial" w:eastAsia="Arial" w:hAnsi="Arial"/>
          <w:i/>
          <w:iCs/>
          <w:color w:val="4A5568"/>
          <w:sz w:val="16"/>
          <w:szCs w:val="16"/>
        </w:rPr>
        <w:t xml:space="preserve">Anomaly Upload Validator  ·  the organization  ·  Internal Use Only  ·  May 2026</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360"/>
      <w:outlineLvl w:val="0"/>
    </w:pPr>
    <w:rPr>
      <w:rFonts w:ascii="Arial" w:cs="Arial" w:eastAsia="Arial" w:hAnsi="Arial"/>
      <w:b/>
      <w:bCs/>
      <w:color w:val="0D3349"/>
      <w:sz w:val="36"/>
      <w:szCs w:val="36"/>
    </w:rPr>
  </w:style>
  <w:style w:type="paragraph" w:styleId="Heading2">
    <w:name w:val="Heading 2"/>
    <w:basedOn w:val="Normal"/>
    <w:next w:val="Normal"/>
    <w:qFormat/>
    <w:pPr>
      <w:spacing w:after="80" w:before="280"/>
      <w:outlineLvl w:val="1"/>
    </w:pPr>
    <w:rPr>
      <w:rFonts w:ascii="Arial" w:cs="Arial" w:eastAsia="Arial" w:hAnsi="Arial"/>
      <w:b/>
      <w:bCs/>
      <w:color w:val="1B5E8A"/>
      <w:sz w:val="26"/>
      <w:szCs w:val="26"/>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2026-05-02T02:06:43.579Z</dcterms:created>
  <dcterms:modified xsi:type="dcterms:W3CDTF">2026-05-02T02:06:43.580Z</dcterms:modified>
</cp:coreProperties>
</file>

<file path=docProps/custom.xml><?xml version="1.0" encoding="utf-8"?>
<Properties xmlns="http://schemas.openxmlformats.org/officeDocument/2006/custom-properties" xmlns:vt="http://schemas.openxmlformats.org/officeDocument/2006/docPropsVTypes"/>
</file>