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pPr>
      <w:r>
        <w:rPr>
          <w:rFonts w:ascii="Arial" w:cs="Arial" w:eastAsia="Arial" w:hAnsi="Arial"/>
          <w:b/>
          <w:bCs/>
          <w:color w:val="0D3349"/>
          <w:sz w:val="52"/>
          <w:szCs w:val="52"/>
        </w:rPr>
        <w:t xml:space="preserve">Anomaly Upload Validator</w:t>
      </w:r>
    </w:p>
    <w:p>
      <w:pPr>
        <w:spacing w:after="80" w:before="0"/>
      </w:pPr>
      <w:r>
        <w:rPr>
          <w:rFonts w:ascii="Arial" w:cs="Arial" w:eastAsia="Arial" w:hAnsi="Arial"/>
          <w:color w:val="00A97F"/>
          <w:sz w:val="32"/>
          <w:szCs w:val="32"/>
        </w:rPr>
        <w:t xml:space="preserve">Product Requirements Document</w:t>
      </w:r>
    </w:p>
    <w:p>
      <w:pPr>
        <w:pBdr>
          <w:bottom w:val="single" w:color="00A97F" w:sz="6" w:space="4"/>
        </w:pBdr>
        <w:spacing w:after="240" w:before="0"/>
      </w:pPr>
      <w:r>
        <w:rPr>
          <w:rFonts w:ascii="Arial" w:cs="Arial" w:eastAsia="Arial" w:hAnsi="Arial"/>
          <w:color w:val="4A5568"/>
          <w:sz w:val="18"/>
          <w:szCs w:val="18"/>
        </w:rPr>
        <w:t xml:space="preserve">the organization  ·  Internal Tool  ·  v2.1  ·  May 2026</w:t>
      </w:r>
    </w:p>
    <w:p>
      <w:pPr>
        <w:pStyle w:val="Heading2"/>
        <w:pBdr>
          <w:bottom w:val="single" w:color="00A97F" w:sz="4" w:space="4"/>
        </w:pBdr>
        <w:spacing w:after="80" w:before="280"/>
      </w:pPr>
      <w:r>
        <w:rPr>
          <w:rFonts w:ascii="Arial" w:cs="Arial" w:eastAsia="Arial" w:hAnsi="Arial"/>
          <w:b/>
          <w:bCs/>
          <w:color w:val="1B5E8A"/>
          <w:sz w:val="26"/>
          <w:szCs w:val="26"/>
        </w:rPr>
        <w:t xml:space="preserve">Document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Product Name</w:t>
            </w:r>
          </w:p>
        </w:tc>
        <w:tc>
          <w:tcPr>
            <w:tcW w:type="dxa" w:w="6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Anomaly Upload Validator</w:t>
            </w:r>
          </w:p>
        </w:tc>
      </w:tr>
      <w:tr>
        <w:tc>
          <w:tcPr>
            <w:tcW w:type="dxa" w:w="2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Version</w:t>
            </w:r>
          </w:p>
        </w:tc>
        <w:tc>
          <w:tcPr>
            <w:tcW w:type="dxa" w:w="6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v2.1 (current)</w:t>
            </w:r>
          </w:p>
        </w:tc>
      </w:tr>
      <w:tr>
        <w:tc>
          <w:tcPr>
            <w:tcW w:type="dxa" w:w="2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Document Status</w:t>
            </w:r>
          </w:p>
        </w:tc>
        <w:tc>
          <w:tcPr>
            <w:tcW w:type="dxa" w:w="6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Final — reflects delivered functionality</w:t>
            </w:r>
          </w:p>
        </w:tc>
      </w:tr>
      <w:tr>
        <w:tc>
          <w:tcPr>
            <w:tcW w:type="dxa" w:w="2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Author</w:t>
            </w:r>
          </w:p>
        </w:tc>
        <w:tc>
          <w:tcPr>
            <w:tcW w:type="dxa" w:w="6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Engineering</w:t>
            </w:r>
          </w:p>
        </w:tc>
      </w:tr>
      <w:tr>
        <w:tc>
          <w:tcPr>
            <w:tcW w:type="dxa" w:w="2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Last Updated</w:t>
            </w:r>
          </w:p>
        </w:tc>
        <w:tc>
          <w:tcPr>
            <w:tcW w:type="dxa" w:w="6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May 2026</w:t>
            </w:r>
          </w:p>
        </w:tc>
      </w:tr>
      <w:tr>
        <w:tc>
          <w:tcPr>
            <w:tcW w:type="dxa" w:w="2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Distribution</w:t>
            </w:r>
          </w:p>
        </w:tc>
        <w:tc>
          <w:tcPr>
            <w:tcW w:type="dxa" w:w="6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data coordinators and engineering staff</w:t>
            </w:r>
          </w:p>
        </w:tc>
      </w:tr>
    </w:tbl>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Executive Summary</w:t>
      </w:r>
    </w:p>
    <w:p>
      <w:pPr>
        <w:spacing w:after="60" w:before="60"/>
      </w:pPr>
      <w:r>
        <w:rPr>
          <w:rFonts w:ascii="Arial" w:cs="Arial" w:eastAsia="Arial" w:hAnsi="Arial"/>
          <w:color w:val="1A1A1A"/>
          <w:sz w:val="20"/>
          <w:szCs w:val="20"/>
        </w:rPr>
        <w:t xml:space="preserve">The Anomaly Upload Validator is a browser-based internal tool that automates the pre-upload preparation of inspection datasets for the the Internal Platform. It accepts raw the source inspection platform exports in CSV or XLSX format, validates them against the platform upload specification, converts field values across three nomenclature systems (the source inspection platform → the Internal Platform → the Output Platform), enables human-in-the-loop resolution of unmatched values, and produces a formatted multi-tab XLSX working document ready for upload.</w:t>
      </w:r>
    </w:p>
    <w:p>
      <w:pPr>
        <w:spacing w:after="0" w:before="0"/>
      </w:pPr>
      <w:r>
        <w:t xml:space="preserve"/>
      </w:r>
    </w:p>
    <w:p>
      <w:pPr>
        <w:spacing w:after="60" w:before="60"/>
      </w:pPr>
      <w:r>
        <w:rPr>
          <w:rFonts w:ascii="Arial" w:cs="Arial" w:eastAsia="Arial" w:hAnsi="Arial"/>
          <w:color w:val="1A1A1A"/>
          <w:sz w:val="20"/>
          <w:szCs w:val="20"/>
        </w:rPr>
        <w:t xml:space="preserve">The tool is distributed as a single self-contained HTML file requiring no installation, no server, and no authentication. All data processing runs client-side in the browser — no inspection data is transmitted externally.</w:t>
      </w:r>
    </w:p>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Problem Statement</w:t>
      </w:r>
    </w:p>
    <w:p>
      <w:pPr>
        <w:spacing w:after="60" w:before="200"/>
      </w:pPr>
      <w:r>
        <w:rPr>
          <w:rFonts w:ascii="Arial" w:cs="Arial" w:eastAsia="Arial" w:hAnsi="Arial"/>
          <w:b/>
          <w:bCs/>
          <w:color w:val="1A1A1A"/>
          <w:sz w:val="22"/>
          <w:szCs w:val="22"/>
        </w:rPr>
        <w:t xml:space="preserve">Background</w:t>
      </w:r>
    </w:p>
    <w:p>
      <w:pPr>
        <w:spacing w:after="60" w:before="60"/>
      </w:pPr>
      <w:r>
        <w:rPr>
          <w:rFonts w:ascii="Arial" w:cs="Arial" w:eastAsia="Arial" w:hAnsi="Arial"/>
          <w:color w:val="1A1A1A"/>
          <w:sz w:val="20"/>
          <w:szCs w:val="20"/>
        </w:rPr>
        <w:t xml:space="preserve">the OEM wind farm asset owners engage both the organization and third-party inspector the Source Platform for blade inspections. When third-party-sourced inspection data needs to be ingested into the Internal Platform and subsequently submitted to the the Output Platform platform, it must pass through two conversion layers and conform to the the Internal Platform upload specification.</w:t>
      </w:r>
    </w:p>
    <w:p>
      <w:pPr>
        <w:spacing w:after="0" w:before="0"/>
      </w:pPr>
      <w:r>
        <w:t xml:space="preserve"/>
      </w:r>
    </w:p>
    <w:p>
      <w:pPr>
        <w:spacing w:after="60" w:before="200"/>
      </w:pPr>
      <w:r>
        <w:rPr>
          <w:rFonts w:ascii="Arial" w:cs="Arial" w:eastAsia="Arial" w:hAnsi="Arial"/>
          <w:b/>
          <w:bCs/>
          <w:color w:val="1A1A1A"/>
          <w:sz w:val="22"/>
          <w:szCs w:val="22"/>
        </w:rPr>
        <w:t xml:space="preserve">Problems Identified</w:t>
      </w:r>
    </w:p>
    <w:p>
      <w:pPr>
        <w:pStyle w:val="ListParagraph"/>
        <w:numPr>
          <w:ilvl w:val="0"/>
          <w:numId w:val="2"/>
        </w:numPr>
        <w:spacing w:after="40" w:before="40"/>
      </w:pPr>
      <w:r>
        <w:rPr>
          <w:rFonts w:ascii="Arial" w:cs="Arial" w:eastAsia="Arial" w:hAnsi="Arial"/>
          <w:color w:val="1A1A1A"/>
          <w:sz w:val="20"/>
          <w:szCs w:val="20"/>
        </w:rPr>
        <w:t xml:space="preserve">Manual pre-upload checking was performed in Excel with no standardized process, leading to inconsistent results and occasional failed uploads to the Internal Platform.</w:t>
      </w:r>
    </w:p>
    <w:p>
      <w:pPr>
        <w:pStyle w:val="ListParagraph"/>
        <w:numPr>
          <w:ilvl w:val="0"/>
          <w:numId w:val="2"/>
        </w:numPr>
        <w:spacing w:after="40" w:before="40"/>
      </w:pPr>
      <w:r>
        <w:rPr>
          <w:rFonts w:ascii="Arial" w:cs="Arial" w:eastAsia="Arial" w:hAnsi="Arial"/>
          <w:color w:val="1A1A1A"/>
          <w:sz w:val="20"/>
          <w:szCs w:val="20"/>
        </w:rPr>
        <w:t xml:space="preserve">Field value conversion across three nomenclature systems (the Source Platform → the organization → the OEM) was performed manually using a reference spreadsheet, requiring significant coordinator time per dataset.</w:t>
      </w:r>
    </w:p>
    <w:p>
      <w:pPr>
        <w:pStyle w:val="ListParagraph"/>
        <w:numPr>
          <w:ilvl w:val="0"/>
          <w:numId w:val="2"/>
        </w:numPr>
        <w:spacing w:after="40" w:before="40"/>
      </w:pPr>
      <w:r>
        <w:rPr>
          <w:rFonts w:ascii="Arial" w:cs="Arial" w:eastAsia="Arial" w:hAnsi="Arial"/>
          <w:color w:val="1A1A1A"/>
          <w:sz w:val="20"/>
          <w:szCs w:val="20"/>
        </w:rPr>
        <w:t xml:space="preserve">Unrecognized field values (new damage types, new component combinations) had no structured resolution workflow — they were either missed or required escalation to Engineering via email.</w:t>
      </w:r>
    </w:p>
    <w:p>
      <w:pPr>
        <w:pStyle w:val="ListParagraph"/>
        <w:numPr>
          <w:ilvl w:val="0"/>
          <w:numId w:val="2"/>
        </w:numPr>
        <w:spacing w:after="40" w:before="40"/>
      </w:pPr>
      <w:r>
        <w:rPr>
          <w:rFonts w:ascii="Arial" w:cs="Arial" w:eastAsia="Arial" w:hAnsi="Arial"/>
          <w:color w:val="1A1A1A"/>
          <w:sz w:val="20"/>
          <w:szCs w:val="20"/>
        </w:rPr>
        <w:t xml:space="preserve">Multiple source platform export formats exist across different client datasets (e.g. Dataset A vs Dataset B structure), causing conversion failures when the wrong template was applied.</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none" w:color="FFFFFF" w:sz="0"/>
              <w:left w:val="none" w:color="FFFFFF" w:sz="0"/>
              <w:bottom w:val="none" w:color="FFFFFF" w:sz="0"/>
              <w:right w:val="none" w:color="FFFFFF" w:sz="0"/>
            </w:tcBorders>
            <w:shd w:fill="00A97F" w:val="clear"/>
            <w:tcMar>
              <w:top w:type="dxa" w:w="120"/>
              <w:left w:type="dxa" w:w="160"/>
              <w:bottom w:type="dxa" w:w="120"/>
              <w:right w:type="dxa" w:w="160"/>
            </w:tcMar>
            <w:vAlign w:val="center"/>
          </w:tcPr>
          <w:p>
            <w:pPr>
              <w:jc w:val="center"/>
            </w:pPr>
            <w:r>
              <w:rPr>
                <w:rFonts w:ascii="Arial" w:cs="Arial" w:eastAsia="Arial" w:hAnsi="Arial"/>
                <w:b/>
                <w:bCs/>
                <w:color w:val="FFFFFF"/>
                <w:sz w:val="18"/>
                <w:szCs w:val="18"/>
              </w:rPr>
              <w:t xml:space="preserve">Impact</w:t>
            </w:r>
          </w:p>
        </w:tc>
        <w:tc>
          <w:tcPr>
            <w:tcW w:type="dxa" w:w="7960"/>
            <w:tcBorders>
              <w:top w:val="none" w:color="FFFFFF" w:sz="0"/>
              <w:left w:val="none" w:color="FFFFFF" w:sz="0"/>
              <w:bottom w:val="none" w:color="FFFFFF" w:sz="0"/>
              <w:right w:val="none" w:color="FFFFFF" w:sz="0"/>
            </w:tcBorders>
            <w:shd w:fill="F0FBF7" w:val="clear"/>
            <w:tcMar>
              <w:top w:type="dxa" w:w="120"/>
              <w:left w:type="dxa" w:w="160"/>
              <w:bottom w:type="dxa" w:w="120"/>
              <w:right w:type="dxa" w:w="160"/>
            </w:tcMar>
          </w:tcPr>
          <w:p>
            <w:r>
              <w:rPr>
                <w:rFonts w:ascii="Arial" w:cs="Arial" w:eastAsia="Arial" w:hAnsi="Arial"/>
                <w:i/>
                <w:iCs/>
                <w:color w:val="1A1A1A"/>
                <w:sz w:val="18"/>
                <w:szCs w:val="18"/>
              </w:rPr>
              <w:t xml:space="preserve">Each failed upload or conversion error requires manual rework estimated at 30–90 minutes per dataset. With multiple datasets processed per week, this represented a significant and growing operational overhead.</w:t>
            </w:r>
          </w:p>
        </w:tc>
      </w:tr>
    </w:tbl>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Goals &amp; Success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3760"/>
        <w:gridCol w:w="1600"/>
      </w:tblGrid>
      <w:tr>
        <w:trPr>
          <w:tblHeader/>
        </w:trPr>
        <w:tc>
          <w:tcPr>
            <w:tcW w:type="dxa" w:w="40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Goal</w:t>
            </w:r>
          </w:p>
        </w:tc>
        <w:tc>
          <w:tcPr>
            <w:tcW w:type="dxa" w:w="37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Success Metric</w:t>
            </w:r>
          </w:p>
        </w:tc>
        <w:tc>
          <w:tcPr>
            <w:tcW w:type="dxa" w:w="16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Priority</w:t>
            </w:r>
          </w:p>
        </w:tc>
      </w:tr>
      <w:tr>
        <w:tc>
          <w:tcPr>
            <w:tcW w:type="dxa" w:w="4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Eliminate manual pre-upload field checking</w:t>
            </w:r>
          </w:p>
        </w:tc>
        <w:tc>
          <w:tcPr>
            <w:tcW w:type="dxa" w:w="37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100% of required fields validated automatically before upload</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4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Automate field value conversion across three nomenclature systems</w:t>
            </w:r>
          </w:p>
        </w:tc>
        <w:tc>
          <w:tcPr>
            <w:tcW w:type="dxa" w:w="37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Zero manual conversion steps required for known field values</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4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Provide structured resolution for unknown values</w:t>
            </w:r>
          </w:p>
        </w:tc>
        <w:tc>
          <w:tcPr>
            <w:tcW w:type="dxa" w:w="37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All unmatched values surfaced with dropdown resolution — no silent failures</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4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Support multiple source dataset formats</w:t>
            </w:r>
          </w:p>
        </w:tc>
        <w:tc>
          <w:tcPr>
            <w:tcW w:type="dxa" w:w="37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Tool handles all known the source inspection platform export structures without configuration changes</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4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Zero installation / zero IT dependency</w:t>
            </w:r>
          </w:p>
        </w:tc>
        <w:tc>
          <w:tcPr>
            <w:tcW w:type="dxa" w:w="37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Runs in any modern browser from a shared Drive link</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4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Keep data internal</w:t>
            </w:r>
          </w:p>
        </w:tc>
        <w:tc>
          <w:tcPr>
            <w:tcW w:type="dxa" w:w="37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No inspection data transmitted outside the local machine</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4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Enable Engineering to extend conversion mappings</w:t>
            </w:r>
          </w:p>
        </w:tc>
        <w:tc>
          <w:tcPr>
            <w:tcW w:type="dxa" w:w="37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New rows added to Conversions tab update formulas automatically</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Should Have</w:t>
            </w:r>
          </w:p>
        </w:tc>
      </w:tr>
      <w:tr>
        <w:tc>
          <w:tcPr>
            <w:tcW w:type="dxa" w:w="4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Provide operational visibility</w:t>
            </w:r>
          </w:p>
        </w:tc>
        <w:tc>
          <w:tcPr>
            <w:tcW w:type="dxa" w:w="37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Compliance score, anomaly count, turbine count, and site breakdown visible per run</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Should Have</w:t>
            </w:r>
          </w:p>
        </w:tc>
      </w:tr>
    </w:tbl>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Users &amp; Personas</w:t>
      </w:r>
    </w:p>
    <w:p>
      <w:pPr>
        <w:spacing w:after="60" w:before="200"/>
      </w:pPr>
      <w:r>
        <w:rPr>
          <w:rFonts w:ascii="Arial" w:cs="Arial" w:eastAsia="Arial" w:hAnsi="Arial"/>
          <w:b/>
          <w:bCs/>
          <w:color w:val="1A1A1A"/>
          <w:sz w:val="22"/>
          <w:szCs w:val="22"/>
        </w:rPr>
        <w:t xml:space="preserve">Data Coordinator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none" w:color="FFFFFF" w:sz="0"/>
              <w:left w:val="none" w:color="FFFFFF" w:sz="0"/>
              <w:bottom w:val="none" w:color="FFFFFF" w:sz="0"/>
              <w:right w:val="none" w:color="FFFFFF" w:sz="0"/>
            </w:tcBorders>
            <w:shd w:fill="1B5E8A" w:val="clear"/>
            <w:tcMar>
              <w:top w:type="dxa" w:w="120"/>
              <w:left w:type="dxa" w:w="160"/>
              <w:bottom w:type="dxa" w:w="120"/>
              <w:right w:type="dxa" w:w="160"/>
            </w:tcMar>
            <w:vAlign w:val="center"/>
          </w:tcPr>
          <w:p>
            <w:pPr>
              <w:jc w:val="center"/>
            </w:pPr>
            <w:r>
              <w:rPr>
                <w:rFonts w:ascii="Arial" w:cs="Arial" w:eastAsia="Arial" w:hAnsi="Arial"/>
                <w:b/>
                <w:bCs/>
                <w:color w:val="FFFFFF"/>
                <w:sz w:val="18"/>
                <w:szCs w:val="18"/>
              </w:rPr>
              <w:t xml:space="preserve">Primary User</w:t>
            </w:r>
          </w:p>
        </w:tc>
        <w:tc>
          <w:tcPr>
            <w:tcW w:type="dxa" w:w="7960"/>
            <w:tcBorders>
              <w:top w:val="none" w:color="FFFFFF" w:sz="0"/>
              <w:left w:val="none" w:color="FFFFFF" w:sz="0"/>
              <w:bottom w:val="none" w:color="FFFFFF" w:sz="0"/>
              <w:right w:val="none" w:color="FFFFFF" w:sz="0"/>
            </w:tcBorders>
            <w:shd w:fill="F0FBF7" w:val="clear"/>
            <w:tcMar>
              <w:top w:type="dxa" w:w="120"/>
              <w:left w:type="dxa" w:w="160"/>
              <w:bottom w:type="dxa" w:w="120"/>
              <w:right w:type="dxa" w:w="160"/>
            </w:tcMar>
          </w:tcPr>
          <w:p>
            <w:r>
              <w:rPr>
                <w:rFonts w:ascii="Arial" w:cs="Arial" w:eastAsia="Arial" w:hAnsi="Arial"/>
                <w:i/>
                <w:iCs/>
                <w:color w:val="1A1A1A"/>
                <w:sz w:val="18"/>
                <w:szCs w:val="18"/>
              </w:rPr>
              <w:t xml:space="preserve">Receives raw source platform exports from wind farm clients and is responsible for preparing them for upload to the Internal Platform. Non-technical. Needs clear pass/fail feedback without reading code or formulas.</w:t>
            </w:r>
          </w:p>
        </w:tc>
      </w:tr>
    </w:tbl>
    <w:p>
      <w:pPr>
        <w:spacing w:after="0" w:before="0"/>
      </w:pPr>
      <w:r>
        <w:t xml:space="preserve"/>
      </w:r>
    </w:p>
    <w:p>
      <w:pPr>
        <w:spacing w:after="60" w:before="200"/>
      </w:pPr>
      <w:r>
        <w:rPr>
          <w:rFonts w:ascii="Arial" w:cs="Arial" w:eastAsia="Arial" w:hAnsi="Arial"/>
          <w:b/>
          <w:bCs/>
          <w:color w:val="1A1A1A"/>
          <w:sz w:val="22"/>
          <w:szCs w:val="22"/>
        </w:rPr>
        <w:t xml:space="preserve">Engineering / Data Lead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none" w:color="FFFFFF" w:sz="0"/>
              <w:left w:val="none" w:color="FFFFFF" w:sz="0"/>
              <w:bottom w:val="none" w:color="FFFFFF" w:sz="0"/>
              <w:right w:val="none" w:color="FFFFFF" w:sz="0"/>
            </w:tcBorders>
            <w:shd w:fill="27AE60" w:val="clear"/>
            <w:tcMar>
              <w:top w:type="dxa" w:w="120"/>
              <w:left w:type="dxa" w:w="160"/>
              <w:bottom w:type="dxa" w:w="120"/>
              <w:right w:type="dxa" w:w="160"/>
            </w:tcMar>
            <w:vAlign w:val="center"/>
          </w:tcPr>
          <w:p>
            <w:pPr>
              <w:jc w:val="center"/>
            </w:pPr>
            <w:r>
              <w:rPr>
                <w:rFonts w:ascii="Arial" w:cs="Arial" w:eastAsia="Arial" w:hAnsi="Arial"/>
                <w:b/>
                <w:bCs/>
                <w:color w:val="FFFFFF"/>
                <w:sz w:val="18"/>
                <w:szCs w:val="18"/>
              </w:rPr>
              <w:t xml:space="preserve">Secondary User</w:t>
            </w:r>
          </w:p>
        </w:tc>
        <w:tc>
          <w:tcPr>
            <w:tcW w:type="dxa" w:w="7960"/>
            <w:tcBorders>
              <w:top w:val="none" w:color="FFFFFF" w:sz="0"/>
              <w:left w:val="none" w:color="FFFFFF" w:sz="0"/>
              <w:bottom w:val="none" w:color="FFFFFF" w:sz="0"/>
              <w:right w:val="none" w:color="FFFFFF" w:sz="0"/>
            </w:tcBorders>
            <w:shd w:fill="F0FBF7" w:val="clear"/>
            <w:tcMar>
              <w:top w:type="dxa" w:w="120"/>
              <w:left w:type="dxa" w:w="160"/>
              <w:bottom w:type="dxa" w:w="120"/>
              <w:right w:type="dxa" w:w="160"/>
            </w:tcMar>
          </w:tcPr>
          <w:p>
            <w:r>
              <w:rPr>
                <w:rFonts w:ascii="Arial" w:cs="Arial" w:eastAsia="Arial" w:hAnsi="Arial"/>
                <w:i/>
                <w:iCs/>
                <w:color w:val="1A1A1A"/>
                <w:sz w:val="18"/>
                <w:szCs w:val="18"/>
              </w:rPr>
              <w:t xml:space="preserve">Owns the conversion mapping tables and is responsible for extending them when new damage types or component combinations appear. Comfortable with spreadsheets. Needs to update the Conversions tab without breaking the output.</w:t>
            </w:r>
          </w:p>
        </w:tc>
      </w:tr>
    </w:tbl>
    <w:p>
      <w:pPr>
        <w:spacing w:after="0" w:before="0"/>
      </w:pPr>
      <w:r>
        <w:t xml:space="preserve"/>
      </w:r>
    </w:p>
    <w:p>
      <w:pPr>
        <w:spacing w:after="60" w:before="200"/>
      </w:pPr>
      <w:r>
        <w:rPr>
          <w:rFonts w:ascii="Arial" w:cs="Arial" w:eastAsia="Arial" w:hAnsi="Arial"/>
          <w:b/>
          <w:bCs/>
          <w:color w:val="1A1A1A"/>
          <w:sz w:val="22"/>
          <w:szCs w:val="22"/>
        </w:rPr>
        <w:t xml:space="preserve">Operations Manager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none" w:color="FFFFFF" w:sz="0"/>
              <w:left w:val="none" w:color="FFFFFF" w:sz="0"/>
              <w:bottom w:val="none" w:color="FFFFFF" w:sz="0"/>
              <w:right w:val="none" w:color="FFFFFF" w:sz="0"/>
            </w:tcBorders>
            <w:shd w:fill="4A5568" w:val="clear"/>
            <w:tcMar>
              <w:top w:type="dxa" w:w="120"/>
              <w:left w:type="dxa" w:w="160"/>
              <w:bottom w:type="dxa" w:w="120"/>
              <w:right w:type="dxa" w:w="160"/>
            </w:tcMar>
            <w:vAlign w:val="center"/>
          </w:tcPr>
          <w:p>
            <w:pPr>
              <w:jc w:val="center"/>
            </w:pPr>
            <w:r>
              <w:rPr>
                <w:rFonts w:ascii="Arial" w:cs="Arial" w:eastAsia="Arial" w:hAnsi="Arial"/>
                <w:b/>
                <w:bCs/>
                <w:color w:val="FFFFFF"/>
                <w:sz w:val="18"/>
                <w:szCs w:val="18"/>
              </w:rPr>
              <w:t xml:space="preserve">Stakeholder</w:t>
            </w:r>
          </w:p>
        </w:tc>
        <w:tc>
          <w:tcPr>
            <w:tcW w:type="dxa" w:w="7960"/>
            <w:tcBorders>
              <w:top w:val="none" w:color="FFFFFF" w:sz="0"/>
              <w:left w:val="none" w:color="FFFFFF" w:sz="0"/>
              <w:bottom w:val="none" w:color="FFFFFF" w:sz="0"/>
              <w:right w:val="none" w:color="FFFFFF" w:sz="0"/>
            </w:tcBorders>
            <w:shd w:fill="F0FBF7" w:val="clear"/>
            <w:tcMar>
              <w:top w:type="dxa" w:w="120"/>
              <w:left w:type="dxa" w:w="160"/>
              <w:bottom w:type="dxa" w:w="120"/>
              <w:right w:type="dxa" w:w="160"/>
            </w:tcMar>
          </w:tcPr>
          <w:p>
            <w:r>
              <w:rPr>
                <w:rFonts w:ascii="Arial" w:cs="Arial" w:eastAsia="Arial" w:hAnsi="Arial"/>
                <w:i/>
                <w:iCs/>
                <w:color w:val="1A1A1A"/>
                <w:sz w:val="18"/>
                <w:szCs w:val="18"/>
              </w:rPr>
              <w:t xml:space="preserve">Needs confidence that data being uploaded to the Internal Platform and onward to the Output Platform is accurate and complete. Reviews compliance scores and flags for escalation.</w:t>
            </w:r>
          </w:p>
        </w:tc>
      </w:tr>
    </w:tbl>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Scope</w:t>
      </w:r>
    </w:p>
    <w:p>
      <w:pPr>
        <w:spacing w:after="60" w:before="200"/>
      </w:pPr>
      <w:r>
        <w:rPr>
          <w:rFonts w:ascii="Arial" w:cs="Arial" w:eastAsia="Arial" w:hAnsi="Arial"/>
          <w:b/>
          <w:bCs/>
          <w:color w:val="1A1A1A"/>
          <w:sz w:val="22"/>
          <w:szCs w:val="22"/>
        </w:rPr>
        <w:t xml:space="preserve">In Scope — v2.1</w:t>
      </w:r>
    </w:p>
    <w:p>
      <w:pPr>
        <w:pStyle w:val="ListParagraph"/>
        <w:numPr>
          <w:ilvl w:val="0"/>
          <w:numId w:val="2"/>
        </w:numPr>
        <w:spacing w:after="40" w:before="40"/>
      </w:pPr>
      <w:r>
        <w:rPr>
          <w:rFonts w:ascii="Arial" w:cs="Arial" w:eastAsia="Arial" w:hAnsi="Arial"/>
          <w:color w:val="1A1A1A"/>
          <w:sz w:val="20"/>
          <w:szCs w:val="20"/>
        </w:rPr>
        <w:t xml:space="preserve">File ingestion: CSV and XLSX from the source inspection platform</w:t>
      </w:r>
    </w:p>
    <w:p>
      <w:pPr>
        <w:pStyle w:val="ListParagraph"/>
        <w:numPr>
          <w:ilvl w:val="0"/>
          <w:numId w:val="2"/>
        </w:numPr>
        <w:spacing w:after="40" w:before="40"/>
      </w:pPr>
      <w:r>
        <w:rPr>
          <w:rFonts w:ascii="Arial" w:cs="Arial" w:eastAsia="Arial" w:hAnsi="Arial"/>
          <w:color w:val="1A1A1A"/>
          <w:sz w:val="20"/>
          <w:szCs w:val="20"/>
        </w:rPr>
        <w:t xml:space="preserve">Column-level validation: presence and naming of all required and conditional fields</w:t>
      </w:r>
    </w:p>
    <w:p>
      <w:pPr>
        <w:pStyle w:val="ListParagraph"/>
        <w:numPr>
          <w:ilvl w:val="0"/>
          <w:numId w:val="2"/>
        </w:numPr>
        <w:spacing w:after="40" w:before="40"/>
      </w:pPr>
      <w:r>
        <w:rPr>
          <w:rFonts w:ascii="Arial" w:cs="Arial" w:eastAsia="Arial" w:hAnsi="Arial"/>
          <w:color w:val="1A1A1A"/>
          <w:sz w:val="20"/>
          <w:szCs w:val="20"/>
        </w:rPr>
        <w:t xml:space="preserve">Row-level validation: field format rules (date, severity, Yes/No, blade side, numerics, coordinate pairs)</w:t>
      </w:r>
    </w:p>
    <w:p>
      <w:pPr>
        <w:pStyle w:val="ListParagraph"/>
        <w:numPr>
          <w:ilvl w:val="0"/>
          <w:numId w:val="2"/>
        </w:numPr>
        <w:spacing w:after="40" w:before="40"/>
      </w:pPr>
      <w:r>
        <w:rPr>
          <w:rFonts w:ascii="Arial" w:cs="Arial" w:eastAsia="Arial" w:hAnsi="Arial"/>
          <w:color w:val="1A1A1A"/>
          <w:sz w:val="20"/>
          <w:szCs w:val="20"/>
        </w:rPr>
        <w:t xml:space="preserve">Four-tier status system: Error, Manual Review, Check Internally, Warning</w:t>
      </w:r>
    </w:p>
    <w:p>
      <w:pPr>
        <w:pStyle w:val="ListParagraph"/>
        <w:numPr>
          <w:ilvl w:val="0"/>
          <w:numId w:val="2"/>
        </w:numPr>
        <w:spacing w:after="40" w:before="40"/>
      </w:pPr>
      <w:r>
        <w:rPr>
          <w:rFonts w:ascii="Arial" w:cs="Arial" w:eastAsia="Arial" w:hAnsi="Arial"/>
          <w:color w:val="1A1A1A"/>
          <w:sz w:val="20"/>
          <w:szCs w:val="20"/>
        </w:rPr>
        <w:t xml:space="preserve">Conversion engine: the source inspection platform → the Internal Platform → the Output Platform</w:t>
      </w:r>
    </w:p>
    <w:p>
      <w:pPr>
        <w:pStyle w:val="ListParagraph"/>
        <w:numPr>
          <w:ilvl w:val="0"/>
          <w:numId w:val="2"/>
        </w:numPr>
        <w:spacing w:after="40" w:before="40"/>
      </w:pPr>
      <w:r>
        <w:rPr>
          <w:rFonts w:ascii="Arial" w:cs="Arial" w:eastAsia="Arial" w:hAnsi="Arial"/>
          <w:color w:val="1A1A1A"/>
          <w:sz w:val="20"/>
          <w:szCs w:val="20"/>
        </w:rPr>
        <w:t xml:space="preserve">Three converted field groups: Element/Component, Anomaly Type, Blade Side</w:t>
      </w:r>
    </w:p>
    <w:p>
      <w:pPr>
        <w:pStyle w:val="ListParagraph"/>
        <w:numPr>
          <w:ilvl w:val="0"/>
          <w:numId w:val="2"/>
        </w:numPr>
        <w:spacing w:after="40" w:before="40"/>
      </w:pPr>
      <w:r>
        <w:rPr>
          <w:rFonts w:ascii="Arial" w:cs="Arial" w:eastAsia="Arial" w:hAnsi="Arial"/>
          <w:color w:val="1A1A1A"/>
          <w:sz w:val="20"/>
          <w:szCs w:val="20"/>
        </w:rPr>
        <w:t xml:space="preserve">Human-in-the-loop Manual Review resolution with dropdown selectors</w:t>
      </w:r>
    </w:p>
    <w:p>
      <w:pPr>
        <w:pStyle w:val="ListParagraph"/>
        <w:numPr>
          <w:ilvl w:val="0"/>
          <w:numId w:val="2"/>
        </w:numPr>
        <w:spacing w:after="40" w:before="40"/>
      </w:pPr>
      <w:r>
        <w:rPr>
          <w:rFonts w:ascii="Arial" w:cs="Arial" w:eastAsia="Arial" w:hAnsi="Arial"/>
          <w:color w:val="1A1A1A"/>
          <w:sz w:val="20"/>
          <w:szCs w:val="20"/>
        </w:rPr>
        <w:t xml:space="preserve">Dataset summary: anomaly count, unique turbines, site breakdown</w:t>
      </w:r>
    </w:p>
    <w:p>
      <w:pPr>
        <w:pStyle w:val="ListParagraph"/>
        <w:numPr>
          <w:ilvl w:val="0"/>
          <w:numId w:val="2"/>
        </w:numPr>
        <w:spacing w:after="40" w:before="40"/>
      </w:pPr>
      <w:r>
        <w:rPr>
          <w:rFonts w:ascii="Arial" w:cs="Arial" w:eastAsia="Arial" w:hAnsi="Arial"/>
          <w:color w:val="1A1A1A"/>
          <w:sz w:val="20"/>
          <w:szCs w:val="20"/>
        </w:rPr>
        <w:t xml:space="preserve">Export: Validation Report CSV + Converted XLSX (Damages Report + Conversions tabs)</w:t>
      </w:r>
    </w:p>
    <w:p>
      <w:pPr>
        <w:pStyle w:val="ListParagraph"/>
        <w:numPr>
          <w:ilvl w:val="0"/>
          <w:numId w:val="2"/>
        </w:numPr>
        <w:spacing w:after="40" w:before="40"/>
      </w:pPr>
      <w:r>
        <w:rPr>
          <w:rFonts w:ascii="Arial" w:cs="Arial" w:eastAsia="Arial" w:hAnsi="Arial"/>
          <w:color w:val="1A1A1A"/>
          <w:sz w:val="20"/>
          <w:szCs w:val="20"/>
        </w:rPr>
        <w:t xml:space="preserve">Multi-format support: Dataset A (Component + Material) and Dataset B (Component + Element) structures</w:t>
      </w:r>
    </w:p>
    <w:p>
      <w:pPr>
        <w:spacing w:after="0" w:before="0"/>
      </w:pPr>
      <w:r>
        <w:t xml:space="preserve"/>
      </w:r>
    </w:p>
    <w:p>
      <w:pPr>
        <w:spacing w:after="60" w:before="200"/>
      </w:pPr>
      <w:r>
        <w:rPr>
          <w:rFonts w:ascii="Arial" w:cs="Arial" w:eastAsia="Arial" w:hAnsi="Arial"/>
          <w:b/>
          <w:bCs/>
          <w:color w:val="1A1A1A"/>
          <w:sz w:val="22"/>
          <w:szCs w:val="22"/>
        </w:rPr>
        <w:t xml:space="preserve">Out of Scope — v2.1</w:t>
      </w:r>
    </w:p>
    <w:p>
      <w:pPr>
        <w:pStyle w:val="ListParagraph"/>
        <w:numPr>
          <w:ilvl w:val="0"/>
          <w:numId w:val="2"/>
        </w:numPr>
        <w:spacing w:after="40" w:before="40"/>
      </w:pPr>
      <w:r>
        <w:rPr>
          <w:rFonts w:ascii="Arial" w:cs="Arial" w:eastAsia="Arial" w:hAnsi="Arial"/>
          <w:color w:val="1A1A1A"/>
          <w:sz w:val="20"/>
          <w:szCs w:val="20"/>
        </w:rPr>
        <w:t xml:space="preserve">Cross-field conditional validation (e.g. BladeChamber required when Damage Location = Internal)</w:t>
      </w:r>
    </w:p>
    <w:p>
      <w:pPr>
        <w:pStyle w:val="ListParagraph"/>
        <w:numPr>
          <w:ilvl w:val="0"/>
          <w:numId w:val="2"/>
        </w:numPr>
        <w:spacing w:after="40" w:before="40"/>
      </w:pPr>
      <w:r>
        <w:rPr>
          <w:rFonts w:ascii="Arial" w:cs="Arial" w:eastAsia="Arial" w:hAnsi="Arial"/>
          <w:color w:val="1A1A1A"/>
          <w:sz w:val="20"/>
          <w:szCs w:val="20"/>
        </w:rPr>
        <w:t xml:space="preserve">Duplicate anomaly ID detection</w:t>
      </w:r>
    </w:p>
    <w:p>
      <w:pPr>
        <w:pStyle w:val="ListParagraph"/>
        <w:numPr>
          <w:ilvl w:val="0"/>
          <w:numId w:val="2"/>
        </w:numPr>
        <w:spacing w:after="40" w:before="40"/>
      </w:pPr>
      <w:r>
        <w:rPr>
          <w:rFonts w:ascii="Arial" w:cs="Arial" w:eastAsia="Arial" w:hAnsi="Arial"/>
          <w:color w:val="1A1A1A"/>
          <w:sz w:val="20"/>
          <w:szCs w:val="20"/>
        </w:rPr>
        <w:t xml:space="preserve">Direct upload to either platform from the tool</w:t>
      </w:r>
    </w:p>
    <w:p>
      <w:pPr>
        <w:pStyle w:val="ListParagraph"/>
        <w:numPr>
          <w:ilvl w:val="0"/>
          <w:numId w:val="2"/>
        </w:numPr>
        <w:spacing w:after="40" w:before="40"/>
      </w:pPr>
      <w:r>
        <w:rPr>
          <w:rFonts w:ascii="Arial" w:cs="Arial" w:eastAsia="Arial" w:hAnsi="Arial"/>
          <w:color w:val="1A1A1A"/>
          <w:sz w:val="20"/>
          <w:szCs w:val="20"/>
        </w:rPr>
        <w:t xml:space="preserve">User authentication or access control</w:t>
      </w:r>
    </w:p>
    <w:p>
      <w:pPr>
        <w:pStyle w:val="ListParagraph"/>
        <w:numPr>
          <w:ilvl w:val="0"/>
          <w:numId w:val="2"/>
        </w:numPr>
        <w:spacing w:after="40" w:before="40"/>
      </w:pPr>
      <w:r>
        <w:rPr>
          <w:rFonts w:ascii="Arial" w:cs="Arial" w:eastAsia="Arial" w:hAnsi="Arial"/>
          <w:color w:val="1A1A1A"/>
          <w:sz w:val="20"/>
          <w:szCs w:val="20"/>
        </w:rPr>
        <w:t xml:space="preserve">Audit logging of validation runs (deferred — requires Apps Script or API access)</w:t>
      </w:r>
    </w:p>
    <w:p>
      <w:pPr>
        <w:pStyle w:val="ListParagraph"/>
        <w:numPr>
          <w:ilvl w:val="0"/>
          <w:numId w:val="2"/>
        </w:numPr>
        <w:spacing w:after="40" w:before="40"/>
      </w:pPr>
      <w:r>
        <w:rPr>
          <w:rFonts w:ascii="Arial" w:cs="Arial" w:eastAsia="Arial" w:hAnsi="Arial"/>
          <w:color w:val="1A1A1A"/>
          <w:sz w:val="20"/>
          <w:szCs w:val="20"/>
        </w:rPr>
        <w:t xml:space="preserve">Persistent storage of resolved manual review mappings across sessions</w:t>
      </w:r>
    </w:p>
    <w:p>
      <w:pPr>
        <w:pStyle w:val="ListParagraph"/>
        <w:numPr>
          <w:ilvl w:val="0"/>
          <w:numId w:val="2"/>
        </w:numPr>
        <w:spacing w:after="40" w:before="40"/>
      </w:pPr>
      <w:r>
        <w:rPr>
          <w:rFonts w:ascii="Arial" w:cs="Arial" w:eastAsia="Arial" w:hAnsi="Arial"/>
          <w:color w:val="1A1A1A"/>
          <w:sz w:val="20"/>
          <w:szCs w:val="20"/>
        </w:rPr>
        <w:t xml:space="preserve">Automated extension of VLOOKUP ranges when Engineering adds rows to Conversions tab</w:t>
      </w:r>
    </w:p>
    <w:p>
      <w:pPr>
        <w:spacing w:after="0" w:before="0"/>
      </w:pPr>
      <w:r>
        <w:t xml:space="preserve"/>
      </w:r>
    </w:p>
    <w:p>
      <w:r>
        <w:br w:type="page"/>
      </w:r>
    </w:p>
    <w:p>
      <w:pPr>
        <w:pStyle w:val="Heading2"/>
        <w:pBdr>
          <w:bottom w:val="single" w:color="00A97F" w:sz="4" w:space="4"/>
        </w:pBdr>
        <w:spacing w:after="80" w:before="280"/>
      </w:pPr>
      <w:r>
        <w:rPr>
          <w:rFonts w:ascii="Arial" w:cs="Arial" w:eastAsia="Arial" w:hAnsi="Arial"/>
          <w:b/>
          <w:bCs/>
          <w:color w:val="1B5E8A"/>
          <w:sz w:val="26"/>
          <w:szCs w:val="26"/>
        </w:rPr>
        <w:t xml:space="preserve">Functional Requirements</w:t>
      </w:r>
    </w:p>
    <w:p>
      <w:pPr>
        <w:spacing w:after="60" w:before="200"/>
      </w:pPr>
      <w:r>
        <w:rPr>
          <w:rFonts w:ascii="Arial" w:cs="Arial" w:eastAsia="Arial" w:hAnsi="Arial"/>
          <w:b/>
          <w:bCs/>
          <w:color w:val="1A1A1A"/>
          <w:sz w:val="22"/>
          <w:szCs w:val="22"/>
        </w:rPr>
        <w:t xml:space="preserve">FR-01  File Ingestion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7560"/>
        <w:gridCol w:w="1200"/>
      </w:tblGrid>
      <w:tr>
        <w:trPr>
          <w:tblHeader/>
        </w:trPr>
        <w:tc>
          <w:tcPr>
            <w:tcW w:type="dxa" w:w="6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w:t>
            </w:r>
          </w:p>
        </w:tc>
        <w:tc>
          <w:tcPr>
            <w:tcW w:type="dxa" w:w="75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Requirement</w:t>
            </w:r>
          </w:p>
        </w:tc>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Priority</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FR-01.1</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Tool shall accept CSV (UTF-8) and XLSX / XLS file formats</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FR-01.2</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Files may be submitted via drag-and-drop or file browser dialog</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FR-01.3</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First sheet of any XLSX file shall be used as the data source</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FR-01.4</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Filename and row count shall be displayed on successful load</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FR-01.5</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An error message shall be displayed if the file is empty or unparseable</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FR-01.6</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No file data shall be transmitted to any external server</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bl>
    <w:p>
      <w:pPr>
        <w:spacing w:after="0" w:before="0"/>
      </w:pPr>
      <w:r>
        <w:t xml:space="preserve"/>
      </w:r>
    </w:p>
    <w:p>
      <w:pPr>
        <w:spacing w:after="60" w:before="200"/>
      </w:pPr>
      <w:r>
        <w:rPr>
          <w:rFonts w:ascii="Arial" w:cs="Arial" w:eastAsia="Arial" w:hAnsi="Arial"/>
          <w:b/>
          <w:bCs/>
          <w:color w:val="1A1A1A"/>
          <w:sz w:val="22"/>
          <w:szCs w:val="22"/>
        </w:rPr>
        <w:t xml:space="preserve">FR-02  Column Normalisation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7560"/>
        <w:gridCol w:w="1200"/>
      </w:tblGrid>
      <w:tr>
        <w:trPr>
          <w:tblHeader/>
        </w:trPr>
        <w:tc>
          <w:tcPr>
            <w:tcW w:type="dxa" w:w="6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w:t>
            </w:r>
          </w:p>
        </w:tc>
        <w:tc>
          <w:tcPr>
            <w:tcW w:type="dxa" w:w="75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Requirement</w:t>
            </w:r>
          </w:p>
        </w:tc>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Priority</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FR-02.1</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Tool shall apply a column alias map to normalise variant column names before validation</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FR-02.2</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Aliases shall include at minimum: Date→Inspection Date, Blade Chamber→BladeChamber, Chord (%)→Chord(%), Turbine Serial Number→Serial Number, Links→Source Images</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FR-02.3</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Unrecognized column names shall be passed through unchanged</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bl>
    <w:p>
      <w:pPr>
        <w:spacing w:after="0" w:before="0"/>
      </w:pPr>
      <w:r>
        <w:t xml:space="preserve"/>
      </w:r>
    </w:p>
    <w:p>
      <w:pPr>
        <w:spacing w:after="60" w:before="200"/>
      </w:pPr>
      <w:r>
        <w:rPr>
          <w:rFonts w:ascii="Arial" w:cs="Arial" w:eastAsia="Arial" w:hAnsi="Arial"/>
          <w:b/>
          <w:bCs/>
          <w:color w:val="1A1A1A"/>
          <w:sz w:val="22"/>
          <w:szCs w:val="22"/>
        </w:rPr>
        <w:t xml:space="preserve">FR-03  Column-Level Validation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7560"/>
        <w:gridCol w:w="1200"/>
      </w:tblGrid>
      <w:tr>
        <w:trPr>
          <w:tblHeader/>
        </w:trPr>
        <w:tc>
          <w:tcPr>
            <w:tcW w:type="dxa" w:w="6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w:t>
            </w:r>
          </w:p>
        </w:tc>
        <w:tc>
          <w:tcPr>
            <w:tcW w:type="dxa" w:w="75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Requirement</w:t>
            </w:r>
          </w:p>
        </w:tc>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Priority</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FR-03.1</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Tool shall verify all 18 required field column headers are present (case-sensitive match)</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FR-03.2</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Missing required columns shall be flagged with field name and description</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FR-03.3</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Missing conditional columns shall be reported as informational (non-blocking)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bl>
    <w:p>
      <w:pPr>
        <w:spacing w:after="0" w:before="0"/>
      </w:pPr>
      <w:r>
        <w:t xml:space="preserve"/>
      </w:r>
    </w:p>
    <w:p>
      <w:pPr>
        <w:spacing w:after="60" w:before="200"/>
      </w:pPr>
      <w:r>
        <w:rPr>
          <w:rFonts w:ascii="Arial" w:cs="Arial" w:eastAsia="Arial" w:hAnsi="Arial"/>
          <w:b/>
          <w:bCs/>
          <w:color w:val="1A1A1A"/>
          <w:sz w:val="22"/>
          <w:szCs w:val="22"/>
        </w:rPr>
        <w:t xml:space="preserve">FR-04  Row-Level Validation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7560"/>
        <w:gridCol w:w="1200"/>
      </w:tblGrid>
      <w:tr>
        <w:trPr>
          <w:tblHeader/>
        </w:trPr>
        <w:tc>
          <w:tcPr>
            <w:tcW w:type="dxa" w:w="6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w:t>
            </w:r>
          </w:p>
        </w:tc>
        <w:tc>
          <w:tcPr>
            <w:tcW w:type="dxa" w:w="75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Requirement</w:t>
            </w:r>
          </w:p>
        </w:tc>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Priority</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FR-04.1</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Every data row shall be validated against all required field rules</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FR-04.2</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Severity: integer value 1–5 only</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FR-04.3</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Critical: "Yes" or "No" (case-insensitive)</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FR-04.4</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Inspection Date: YYYY-MM-DD format strictly enforced</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FR-04.5</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Damage Location: "Internal" or "External" (case-insensitive)</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FR-04.6</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Blade Side: LE / Leading Edge / TE / Trailing Edge / PS / Pressure Side / SS / Suction Side</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FR-04.7</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Distance (m), Length (m), Width (m): numeric values</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FR-04.8</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Coordinates: must contain at least three [x,y] bracketed pairs</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FR-04.9</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Asset and Coordinates: when empty, flag as Check Internally rather than Error</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FR-04.10</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Serial Number: when empty or absent, raise no flag of any kind</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bl>
    <w:p>
      <w:pPr>
        <w:spacing w:after="0" w:before="0"/>
      </w:pPr>
      <w:r>
        <w:t xml:space="preserve"/>
      </w:r>
    </w:p>
    <w:p>
      <w:pPr>
        <w:spacing w:after="60" w:before="200"/>
      </w:pPr>
      <w:r>
        <w:rPr>
          <w:rFonts w:ascii="Arial" w:cs="Arial" w:eastAsia="Arial" w:hAnsi="Arial"/>
          <w:b/>
          <w:bCs/>
          <w:color w:val="1A1A1A"/>
          <w:sz w:val="22"/>
          <w:szCs w:val="22"/>
        </w:rPr>
        <w:t xml:space="preserve">FR-05  Conversion Engine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7560"/>
        <w:gridCol w:w="1200"/>
      </w:tblGrid>
      <w:tr>
        <w:trPr>
          <w:tblHeader/>
        </w:trPr>
        <w:tc>
          <w:tcPr>
            <w:tcW w:type="dxa" w:w="6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w:t>
            </w:r>
          </w:p>
        </w:tc>
        <w:tc>
          <w:tcPr>
            <w:tcW w:type="dxa" w:w="75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Requirement</w:t>
            </w:r>
          </w:p>
        </w:tc>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Priority</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FR-05.1</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Tool shall detect whether dataset uses Component+Material or Component+Element column structure and apply the appropriate concatenation</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FR-05.2</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Tool shall detect whether dataset uses Type+Subtype or AnomalyType+Subtype column structure and apply the appropriate concatenation</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FR-05.3</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Concatenation shall use LEN()=0 guard (not ISBLANK) to handle empty string cells correctly</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FR-05.4</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Element conversion shall produce: Input Component → the organization Element + the OEM Element via lookup</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FR-05.5</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Anomaly Type conversion shall produce: Input Damage Type → the organization Anomaly Type + the OEM Anomaly Type via lookup</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FR-05.6</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Blade Side conversion shall produce: Blade Side → the organization Blade Side + the OEM Blade Side via lookup</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FR-05.7</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Floating-point noise in numeric fields shall be cleaned to 4 decimal places on import</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Should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FR-05.8</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Blade letter shall be extracted from Asset field when Blade column is empty or contains full label (e.g. "Blade A")</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Should Have</w:t>
            </w:r>
          </w:p>
        </w:tc>
      </w:tr>
    </w:tbl>
    <w:p>
      <w:pPr>
        <w:spacing w:after="0" w:before="0"/>
      </w:pPr>
      <w:r>
        <w:t xml:space="preserve"/>
      </w:r>
    </w:p>
    <w:p>
      <w:pPr>
        <w:spacing w:after="60" w:before="200"/>
      </w:pPr>
      <w:r>
        <w:rPr>
          <w:rFonts w:ascii="Arial" w:cs="Arial" w:eastAsia="Arial" w:hAnsi="Arial"/>
          <w:b/>
          <w:bCs/>
          <w:color w:val="1A1A1A"/>
          <w:sz w:val="22"/>
          <w:szCs w:val="22"/>
        </w:rPr>
        <w:t xml:space="preserve">FR-06  Status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7560"/>
        <w:gridCol w:w="1200"/>
      </w:tblGrid>
      <w:tr>
        <w:trPr>
          <w:tblHeader/>
        </w:trPr>
        <w:tc>
          <w:tcPr>
            <w:tcW w:type="dxa" w:w="6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w:t>
            </w:r>
          </w:p>
        </w:tc>
        <w:tc>
          <w:tcPr>
            <w:tcW w:type="dxa" w:w="75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Requirement</w:t>
            </w:r>
          </w:p>
        </w:tc>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Priority</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FR-06.1</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Each row issue shall be assigned one of four statuses: Error, Manual Review, Check Internally, Warning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FR-06.2</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Error: required field absent or format invalid</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FR-06.3</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Manual Review: concatenated value not found in conversion lookup table</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FR-06.4</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Check Internally: Asset or Coordinates field empty — value may exist in internal records</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FR-06.5</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Warning: conditional field populated but format invalid</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FR-06.6</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Check Internally rows shall be excluded from compliance score denominator</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bl>
    <w:p>
      <w:pPr>
        <w:spacing w:after="0" w:before="0"/>
      </w:pPr>
      <w:r>
        <w:t xml:space="preserve"/>
      </w:r>
    </w:p>
    <w:p>
      <w:pPr>
        <w:spacing w:after="60" w:before="200"/>
      </w:pPr>
      <w:r>
        <w:rPr>
          <w:rFonts w:ascii="Arial" w:cs="Arial" w:eastAsia="Arial" w:hAnsi="Arial"/>
          <w:b/>
          <w:bCs/>
          <w:color w:val="1A1A1A"/>
          <w:sz w:val="22"/>
          <w:szCs w:val="22"/>
        </w:rPr>
        <w:t xml:space="preserve">FR-07  Manual Review Resolution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7560"/>
        <w:gridCol w:w="1200"/>
      </w:tblGrid>
      <w:tr>
        <w:trPr>
          <w:tblHeader/>
        </w:trPr>
        <w:tc>
          <w:tcPr>
            <w:tcW w:type="dxa" w:w="6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w:t>
            </w:r>
          </w:p>
        </w:tc>
        <w:tc>
          <w:tcPr>
            <w:tcW w:type="dxa" w:w="75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Requirement</w:t>
            </w:r>
          </w:p>
        </w:tc>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Priority</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FR-07.1</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Each Manual Review row shall display the original unmatched value</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FR-07.2</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A dropdown shall present all valid target-platform values for the affected field</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FR-07.3</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On selection, the row status shall update to Resolved and the correct value written to the converted dataset</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FR-07.4</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A progress counter shall show resolved / total Manual Review count</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FR-07.5</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Export Converted XLSX shall remain disabled until all Manual Reviews are resolved</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bl>
    <w:p>
      <w:pPr>
        <w:spacing w:after="0" w:before="0"/>
      </w:pPr>
      <w:r>
        <w:t xml:space="preserve"/>
      </w:r>
    </w:p>
    <w:p>
      <w:pPr>
        <w:spacing w:after="60" w:before="200"/>
      </w:pPr>
      <w:r>
        <w:rPr>
          <w:rFonts w:ascii="Arial" w:cs="Arial" w:eastAsia="Arial" w:hAnsi="Arial"/>
          <w:b/>
          <w:bCs/>
          <w:color w:val="1A1A1A"/>
          <w:sz w:val="22"/>
          <w:szCs w:val="22"/>
        </w:rPr>
        <w:t xml:space="preserve">FR-08  Results Dashboard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7560"/>
        <w:gridCol w:w="1200"/>
      </w:tblGrid>
      <w:tr>
        <w:trPr>
          <w:tblHeader/>
        </w:trPr>
        <w:tc>
          <w:tcPr>
            <w:tcW w:type="dxa" w:w="6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w:t>
            </w:r>
          </w:p>
        </w:tc>
        <w:tc>
          <w:tcPr>
            <w:tcW w:type="dxa" w:w="75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Requirement</w:t>
            </w:r>
          </w:p>
        </w:tc>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Priority</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FR-08.1</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Summary cards shall display: Total Rows, Clean, Errors, Manual Review, Check Internally, Warnings</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FR-08.2</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Compliance score shall be shown as a percentage with green/amber/red threshold coloring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FR-08.3</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Auto-conversion count and Manual Review count shall be displayed as secondary cards</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FR-08.4</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Dataset summary shall show total anomalies, unique turbine count, site count, and per-site breakdown</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FR-08.5</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Issues table shall support filter tabs: All / Errors / Manual Review / Check Internally / Warnings</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bl>
    <w:p>
      <w:pPr>
        <w:spacing w:after="0" w:before="0"/>
      </w:pPr>
      <w:r>
        <w:t xml:space="preserve"/>
      </w:r>
    </w:p>
    <w:p>
      <w:pPr>
        <w:spacing w:after="60" w:before="200"/>
      </w:pPr>
      <w:r>
        <w:rPr>
          <w:rFonts w:ascii="Arial" w:cs="Arial" w:eastAsia="Arial" w:hAnsi="Arial"/>
          <w:b/>
          <w:bCs/>
          <w:color w:val="1A1A1A"/>
          <w:sz w:val="22"/>
          <w:szCs w:val="22"/>
        </w:rPr>
        <w:t xml:space="preserve">FR-09  Exports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7560"/>
        <w:gridCol w:w="1200"/>
      </w:tblGrid>
      <w:tr>
        <w:trPr>
          <w:tblHeader/>
        </w:trPr>
        <w:tc>
          <w:tcPr>
            <w:tcW w:type="dxa" w:w="6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w:t>
            </w:r>
          </w:p>
        </w:tc>
        <w:tc>
          <w:tcPr>
            <w:tcW w:type="dxa" w:w="75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Requirement</w:t>
            </w:r>
          </w:p>
        </w:tc>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Priority</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FR-09.1</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Validation Report: dated CSV with columns Row, Anomaly ID, Field, Status, Detail</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FR-09.2</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Converted XLSX: two-tab workbook — Damages Report + Conversions</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FR-09.3</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Damages Report tab shall match the column order of the amended Dataset A file exactly</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FR-09.4</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Derived columns (Input Component, Output 1 Element, etc.) shall use live VLOOKUP formulas referencing the Conversions tab</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FR-09.5</w:t>
            </w:r>
          </w:p>
        </w:tc>
        <w:tc>
          <w:tcPr>
            <w:tcW w:type="dxa" w:w="7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Conversions tab shall be structured in three sections: Element/Component, Anomaly Type, Blade Side — each editable by Engineering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Must Have</w:t>
            </w:r>
          </w:p>
        </w:tc>
      </w:tr>
      <w:tr>
        <w:tc>
          <w:tcPr>
            <w:tcW w:type="dxa" w:w="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FR-09.6</w:t>
            </w:r>
          </w:p>
        </w:tc>
        <w:tc>
          <w:tcPr>
            <w:tcW w:type="dxa" w:w="7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Exported XLSX filename shall incorporate the source filename and export date</w:t>
            </w:r>
          </w:p>
        </w:tc>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Should Have</w:t>
            </w:r>
          </w:p>
        </w:tc>
      </w:tr>
    </w:tbl>
    <w:p>
      <w:pPr>
        <w:spacing w:after="0" w:before="0"/>
      </w:pPr>
      <w:r>
        <w:t xml:space="preserve"/>
      </w:r>
    </w:p>
    <w:p>
      <w:r>
        <w:br w:type="page"/>
      </w:r>
    </w:p>
    <w:p>
      <w:pPr>
        <w:pStyle w:val="Heading2"/>
        <w:pBdr>
          <w:bottom w:val="single" w:color="00A97F" w:sz="4" w:space="4"/>
        </w:pBdr>
        <w:spacing w:after="80" w:before="280"/>
      </w:pPr>
      <w:r>
        <w:rPr>
          <w:rFonts w:ascii="Arial" w:cs="Arial" w:eastAsia="Arial" w:hAnsi="Arial"/>
          <w:b/>
          <w:bCs/>
          <w:color w:val="1B5E8A"/>
          <w:sz w:val="26"/>
          <w:szCs w:val="26"/>
        </w:rPr>
        <w:t xml:space="preserve">Non-Functional Requirements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2000"/>
        <w:gridCol w:w="6360"/>
      </w:tblGrid>
      <w:tr>
        <w:trPr>
          <w:tblHeader/>
        </w:trPr>
        <w:tc>
          <w:tcPr>
            <w:tcW w:type="dxa" w:w="10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ID</w:t>
            </w:r>
          </w:p>
        </w:tc>
        <w:tc>
          <w:tcPr>
            <w:tcW w:type="dxa" w:w="20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Category</w:t>
            </w:r>
          </w:p>
        </w:tc>
        <w:tc>
          <w:tcPr>
            <w:tcW w:type="dxa" w:w="63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Requirement</w:t>
            </w:r>
          </w:p>
        </w:tc>
      </w:tr>
      <w:tr>
        <w:tc>
          <w:tcPr>
            <w:tcW w:type="dxa" w:w="1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NFR-01</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Deployment</w:t>
            </w:r>
          </w:p>
        </w:tc>
        <w:tc>
          <w:tcPr>
            <w:tcW w:type="dxa" w:w="63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Distributed as a single self-contained HTML file. No server, no installation, no authentication required.</w:t>
            </w:r>
          </w:p>
        </w:tc>
      </w:tr>
      <w:tr>
        <w:tc>
          <w:tcPr>
            <w:tcW w:type="dxa" w:w="1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NFR-02</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Compatibility</w:t>
            </w:r>
          </w:p>
        </w:tc>
        <w:tc>
          <w:tcPr>
            <w:tcW w:type="dxa" w:w="63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run in Chrome, Edge, Firefox, and Safari (any version released in the last 3 years).</w:t>
            </w:r>
          </w:p>
        </w:tc>
      </w:tr>
      <w:tr>
        <w:tc>
          <w:tcPr>
            <w:tcW w:type="dxa" w:w="1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NFR-03</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Data Privacy</w:t>
            </w:r>
          </w:p>
        </w:tc>
        <w:tc>
          <w:tcPr>
            <w:tcW w:type="dxa" w:w="63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All parsing, validation, and conversion must run client-side. No data may be transmitted to any external endpoint.</w:t>
            </w:r>
          </w:p>
        </w:tc>
      </w:tr>
      <w:tr>
        <w:tc>
          <w:tcPr>
            <w:tcW w:type="dxa" w:w="1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NFR-04</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Performance</w:t>
            </w:r>
          </w:p>
        </w:tc>
        <w:tc>
          <w:tcPr>
            <w:tcW w:type="dxa" w:w="63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Must handle datasets of up to 10,000 rows without browser tab freezing or timeout.</w:t>
            </w:r>
          </w:p>
        </w:tc>
      </w:tr>
      <w:tr>
        <w:tc>
          <w:tcPr>
            <w:tcW w:type="dxa" w:w="1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NFR-05</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Dependencies</w:t>
            </w:r>
          </w:p>
        </w:tc>
        <w:tc>
          <w:tcPr>
            <w:tcW w:type="dxa" w:w="63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SheetJS (XLSX library) is the only runtime dependency. Loaded from CDN; cacheable for offline use.</w:t>
            </w:r>
          </w:p>
        </w:tc>
      </w:tr>
      <w:tr>
        <w:tc>
          <w:tcPr>
            <w:tcW w:type="dxa" w:w="1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NFR-06</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Portability</w:t>
            </w:r>
          </w:p>
        </w:tc>
        <w:tc>
          <w:tcPr>
            <w:tcW w:type="dxa" w:w="63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File must be distributable via shared Drive folder with no configuration required by recipients.</w:t>
            </w:r>
          </w:p>
        </w:tc>
      </w:tr>
      <w:tr>
        <w:tc>
          <w:tcPr>
            <w:tcW w:type="dxa" w:w="1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NFR-07</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Maintainability</w:t>
            </w:r>
          </w:p>
        </w:tc>
        <w:tc>
          <w:tcPr>
            <w:tcW w:type="dxa" w:w="63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Conversion tables, field definitions, and column aliases shall be defined as named constants at the top of the script for easy editing.</w:t>
            </w:r>
          </w:p>
        </w:tc>
      </w:tr>
      <w:tr>
        <w:tc>
          <w:tcPr>
            <w:tcW w:type="dxa" w:w="1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NFR-08</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Output fidelity</w:t>
            </w:r>
          </w:p>
        </w:tc>
        <w:tc>
          <w:tcPr>
            <w:tcW w:type="dxa" w:w="63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Exported XLSX formulas must use LEN()=0 guards rather than ISBLANK() to correctly handle empty-string cells written by SheetJS.</w:t>
            </w:r>
          </w:p>
        </w:tc>
      </w:tr>
    </w:tbl>
    <w:p>
      <w:pPr>
        <w:spacing w:after="0" w:before="0"/>
      </w:pPr>
      <w:r>
        <w:t xml:space="preserve"/>
      </w:r>
    </w:p>
    <w:p>
      <w:r>
        <w:br w:type="page"/>
      </w:r>
    </w:p>
    <w:p>
      <w:pPr>
        <w:pStyle w:val="Heading2"/>
        <w:pBdr>
          <w:bottom w:val="single" w:color="00A97F" w:sz="4" w:space="4"/>
        </w:pBdr>
        <w:spacing w:after="80" w:before="280"/>
      </w:pPr>
      <w:r>
        <w:rPr>
          <w:rFonts w:ascii="Arial" w:cs="Arial" w:eastAsia="Arial" w:hAnsi="Arial"/>
          <w:b/>
          <w:bCs/>
          <w:color w:val="1B5E8A"/>
          <w:sz w:val="26"/>
          <w:szCs w:val="26"/>
        </w:rPr>
        <w:t xml:space="preserve">Conversion Mapping Summary</w:t>
      </w:r>
    </w:p>
    <w:p>
      <w:pPr>
        <w:spacing w:after="60" w:before="60"/>
      </w:pPr>
      <w:r>
        <w:rPr>
          <w:rFonts w:ascii="Arial" w:cs="Arial" w:eastAsia="Arial" w:hAnsi="Arial"/>
          <w:color w:val="1A1A1A"/>
          <w:sz w:val="20"/>
          <w:szCs w:val="20"/>
        </w:rPr>
        <w:t xml:space="preserve">The following three field groups are converted during processing. Full lookup tables are maintained in the Conversions tab of the exported XLSX and are editable by Engineering.</w:t>
      </w:r>
    </w:p>
    <w:p>
      <w:pPr>
        <w:spacing w:after="0" w:before="0"/>
      </w:pPr>
      <w:r>
        <w:t xml:space="preserve"/>
      </w:r>
    </w:p>
    <w:p>
      <w:pPr>
        <w:spacing w:after="60" w:before="200"/>
      </w:pPr>
      <w:r>
        <w:rPr>
          <w:rFonts w:ascii="Arial" w:cs="Arial" w:eastAsia="Arial" w:hAnsi="Arial"/>
          <w:b/>
          <w:bCs/>
          <w:color w:val="1A1A1A"/>
          <w:sz w:val="22"/>
          <w:szCs w:val="22"/>
        </w:rPr>
        <w:t xml:space="preserve">Element / Component</w:t>
      </w:r>
    </w:p>
    <w:p>
      <w:pPr>
        <w:spacing w:after="60" w:before="60"/>
      </w:pPr>
      <w:r>
        <w:rPr>
          <w:rFonts w:ascii="Arial" w:cs="Arial" w:eastAsia="Arial" w:hAnsi="Arial"/>
          <w:b/>
          <w:bCs/>
          <w:color w:val="1A1A1A"/>
          <w:sz w:val="20"/>
          <w:szCs w:val="20"/>
        </w:rPr>
        <w:t xml:space="preserve">Source: </w:t>
      </w:r>
      <w:r>
        <w:rPr>
          <w:rFonts w:ascii="Arial" w:cs="Arial" w:eastAsia="Arial" w:hAnsi="Arial"/>
          <w:color w:val="1A1A1A"/>
          <w:sz w:val="20"/>
          <w:szCs w:val="20"/>
        </w:rPr>
        <w:t xml:space="preserve">Component column + Material column (or Element column if Material absent)</w:t>
      </w:r>
    </w:p>
    <w:p>
      <w:pPr>
        <w:spacing w:after="60" w:before="60"/>
      </w:pPr>
      <w:r>
        <w:rPr>
          <w:rFonts w:ascii="Arial" w:cs="Arial" w:eastAsia="Arial" w:hAnsi="Arial"/>
          <w:b/>
          <w:bCs/>
          <w:color w:val="1A1A1A"/>
          <w:sz w:val="20"/>
          <w:szCs w:val="20"/>
        </w:rPr>
        <w:t xml:space="preserve">Derivation: </w:t>
      </w:r>
      <w:r>
        <w:rPr>
          <w:rFonts w:ascii="Arial" w:cs="Arial" w:eastAsia="Arial" w:hAnsi="Arial"/>
          <w:color w:val="1A1A1A"/>
          <w:sz w:val="20"/>
          <w:szCs w:val="20"/>
        </w:rPr>
        <w:t xml:space="preserve">IF(LEN(Material)&gt;0, Component &amp; " - " &amp; Material, IF(LEN(Element)&gt;0, Component &amp; " - " &amp; Element, Component))</w:t>
      </w:r>
    </w:p>
    <w:p>
      <w:pPr>
        <w:spacing w:after="60" w:before="60"/>
      </w:pPr>
      <w:r>
        <w:rPr>
          <w:rFonts w:ascii="Arial" w:cs="Arial" w:eastAsia="Arial" w:hAnsi="Arial"/>
          <w:b/>
          <w:bCs/>
          <w:color w:val="1A1A1A"/>
          <w:sz w:val="20"/>
          <w:szCs w:val="20"/>
        </w:rPr>
        <w:t xml:space="preserve">Output columns: </w:t>
      </w:r>
      <w:r>
        <w:rPr>
          <w:rFonts w:ascii="Arial" w:cs="Arial" w:eastAsia="Arial" w:hAnsi="Arial"/>
          <w:color w:val="1A1A1A"/>
          <w:sz w:val="20"/>
          <w:szCs w:val="20"/>
        </w:rPr>
        <w:t xml:space="preserve">Input Component  →  Output 1 Element  →  the OEM Element</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080"/>
        <w:gridCol w:w="3080"/>
      </w:tblGrid>
      <w:tr>
        <w:trPr>
          <w:tblHeader/>
        </w:trPr>
        <w:tc>
          <w:tcPr>
            <w:tcW w:type="dxa" w:w="3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Input Component</w:t>
            </w:r>
          </w:p>
        </w:tc>
        <w:tc>
          <w:tcPr>
            <w:tcW w:type="dxa" w:w="308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the organization Element</w:t>
            </w:r>
          </w:p>
        </w:tc>
        <w:tc>
          <w:tcPr>
            <w:tcW w:type="dxa" w:w="308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the OEM Element</w:t>
            </w:r>
          </w:p>
        </w:tc>
      </w:tr>
      <w:tr>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Blade - Laminate</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Laminate</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Laminate</w:t>
            </w:r>
          </w:p>
        </w:tc>
      </w:tr>
      <w:tr>
        <w:tc>
          <w:tcPr>
            <w:tcW w:type="dxa" w:w="3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Blade - Structure</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Core Material</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Laminate</w:t>
            </w:r>
          </w:p>
        </w:tc>
      </w:tr>
      <w:tr>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Blade - Surface</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Coating</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Coating</w:t>
            </w:r>
          </w:p>
        </w:tc>
      </w:tr>
      <w:tr>
        <w:tc>
          <w:tcPr>
            <w:tcW w:type="dxa" w:w="3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Blade - Through</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Core Material</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Laminate</w:t>
            </w:r>
          </w:p>
        </w:tc>
      </w:tr>
      <w:tr>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Blade - Top Coat</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Coating</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Coating</w:t>
            </w:r>
          </w:p>
        </w:tc>
      </w:tr>
      <w:tr>
        <w:tc>
          <w:tcPr>
            <w:tcW w:type="dxa" w:w="3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Drainage System - Auxiliary Component</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Accessory - Drain Hole</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Drain Hole</w:t>
            </w:r>
          </w:p>
        </w:tc>
      </w:tr>
      <w:tr>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Leading Edge Protection - Auxiliary Component</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LEP - Coating</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LEP - Tape</w:t>
            </w:r>
          </w:p>
        </w:tc>
      </w:tr>
      <w:tr>
        <w:tc>
          <w:tcPr>
            <w:tcW w:type="dxa" w:w="3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Lightning Receptors - Auxiliary Component</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LPS - Receptor</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LPS - Receptor</w:t>
            </w:r>
          </w:p>
        </w:tc>
      </w:tr>
      <w:tr>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Rain Collar - Auxiliary Component</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Accessory - Rain/Blade Collar</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Add-on - Rain/Blade Collar</w:t>
            </w:r>
          </w:p>
        </w:tc>
      </w:tr>
      <w:tr>
        <w:tc>
          <w:tcPr>
            <w:tcW w:type="dxa" w:w="3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Serrations - Auxiliary Component</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Add-on - TE Serrations</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Add-on - TE Serrations</w:t>
            </w:r>
          </w:p>
        </w:tc>
      </w:tr>
      <w:tr>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Vortex Generators - Auxiliary Component</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Add-on - Vortex Generator</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Add-on - Vortex Generator</w:t>
            </w:r>
          </w:p>
        </w:tc>
      </w:tr>
      <w:tr>
        <w:tc>
          <w:tcPr>
            <w:tcW w:type="dxa" w:w="3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 (full table in Conversions tab)</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
            </w:r>
          </w:p>
        </w:tc>
      </w:tr>
    </w:tbl>
    <w:p>
      <w:pPr>
        <w:spacing w:after="0" w:before="0"/>
      </w:pPr>
      <w:r>
        <w:t xml:space="preserve"/>
      </w:r>
    </w:p>
    <w:p>
      <w:pPr>
        <w:spacing w:after="60" w:before="200"/>
      </w:pPr>
      <w:r>
        <w:rPr>
          <w:rFonts w:ascii="Arial" w:cs="Arial" w:eastAsia="Arial" w:hAnsi="Arial"/>
          <w:b/>
          <w:bCs/>
          <w:color w:val="1A1A1A"/>
          <w:sz w:val="22"/>
          <w:szCs w:val="22"/>
        </w:rPr>
        <w:t xml:space="preserve">Anomaly Type</w:t>
      </w:r>
    </w:p>
    <w:p>
      <w:pPr>
        <w:spacing w:after="60" w:before="60"/>
      </w:pPr>
      <w:r>
        <w:rPr>
          <w:rFonts w:ascii="Arial" w:cs="Arial" w:eastAsia="Arial" w:hAnsi="Arial"/>
          <w:b/>
          <w:bCs/>
          <w:color w:val="1A1A1A"/>
          <w:sz w:val="20"/>
          <w:szCs w:val="20"/>
        </w:rPr>
        <w:t xml:space="preserve">Source: </w:t>
      </w:r>
      <w:r>
        <w:rPr>
          <w:rFonts w:ascii="Arial" w:cs="Arial" w:eastAsia="Arial" w:hAnsi="Arial"/>
          <w:color w:val="1A1A1A"/>
          <w:sz w:val="20"/>
          <w:szCs w:val="20"/>
        </w:rPr>
        <w:t xml:space="preserve">Type column + Subtype column (or Anomaly Type column + Subtype if Type absent)</w:t>
      </w:r>
    </w:p>
    <w:p>
      <w:pPr>
        <w:spacing w:after="60" w:before="60"/>
      </w:pPr>
      <w:r>
        <w:rPr>
          <w:rFonts w:ascii="Arial" w:cs="Arial" w:eastAsia="Arial" w:hAnsi="Arial"/>
          <w:b/>
          <w:bCs/>
          <w:color w:val="1A1A1A"/>
          <w:sz w:val="20"/>
          <w:szCs w:val="20"/>
        </w:rPr>
        <w:t xml:space="preserve">Derivation: </w:t>
      </w:r>
      <w:r>
        <w:rPr>
          <w:rFonts w:ascii="Arial" w:cs="Arial" w:eastAsia="Arial" w:hAnsi="Arial"/>
          <w:color w:val="1A1A1A"/>
          <w:sz w:val="20"/>
          <w:szCs w:val="20"/>
        </w:rPr>
        <w:t xml:space="preserve">IF(LEN(Subtype)&gt;0, Type &amp; " - " &amp; Subtype, Type)</w:t>
      </w:r>
    </w:p>
    <w:p>
      <w:pPr>
        <w:spacing w:after="60" w:before="60"/>
      </w:pPr>
      <w:r>
        <w:rPr>
          <w:rFonts w:ascii="Arial" w:cs="Arial" w:eastAsia="Arial" w:hAnsi="Arial"/>
          <w:b/>
          <w:bCs/>
          <w:color w:val="1A1A1A"/>
          <w:sz w:val="20"/>
          <w:szCs w:val="20"/>
        </w:rPr>
        <w:t xml:space="preserve">Output columns: </w:t>
      </w:r>
      <w:r>
        <w:rPr>
          <w:rFonts w:ascii="Arial" w:cs="Arial" w:eastAsia="Arial" w:hAnsi="Arial"/>
          <w:color w:val="1A1A1A"/>
          <w:sz w:val="20"/>
          <w:szCs w:val="20"/>
        </w:rPr>
        <w:t xml:space="preserve">Input Damage Type  →  the organization Anomaly Type  →  the OEM Anomaly Type</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080"/>
        <w:gridCol w:w="3080"/>
      </w:tblGrid>
      <w:tr>
        <w:trPr>
          <w:tblHeader/>
        </w:trPr>
        <w:tc>
          <w:tcPr>
            <w:tcW w:type="dxa" w:w="3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Input Damage Type</w:t>
            </w:r>
          </w:p>
        </w:tc>
        <w:tc>
          <w:tcPr>
            <w:tcW w:type="dxa" w:w="308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the organization Anomaly Type</w:t>
            </w:r>
          </w:p>
        </w:tc>
        <w:tc>
          <w:tcPr>
            <w:tcW w:type="dxa" w:w="308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the OEM Anomaly Type</w:t>
            </w:r>
          </w:p>
        </w:tc>
      </w:tr>
      <w:tr>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Bondline</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Disbond</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Crack - Split</w:t>
            </w:r>
          </w:p>
        </w:tc>
      </w:tr>
      <w:tr>
        <w:tc>
          <w:tcPr>
            <w:tcW w:type="dxa" w:w="3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Chip - Lightning</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Lightning - Strike</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Lightning Damage - Lightning Strike</w:t>
            </w:r>
          </w:p>
        </w:tc>
      </w:tr>
      <w:tr>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Crack</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Crack - TLC</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Crack - Longitudinal</w:t>
            </w:r>
          </w:p>
        </w:tc>
      </w:tr>
      <w:tr>
        <w:tc>
          <w:tcPr>
            <w:tcW w:type="dxa" w:w="3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Crack - Bond Longitudinal</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Crack - Longitudinal</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Crack - Longitudinal</w:t>
            </w:r>
          </w:p>
        </w:tc>
      </w:tr>
      <w:tr>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Crack - Transverse</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Crack - Transverse</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Crack - Transverse</w:t>
            </w:r>
          </w:p>
        </w:tc>
      </w:tr>
      <w:tr>
        <w:tc>
          <w:tcPr>
            <w:tcW w:type="dxa" w:w="3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Delamination</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Delamination</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Damaged Laminate - Delamination</w:t>
            </w:r>
          </w:p>
        </w:tc>
      </w:tr>
      <w:tr>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Erosion</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Erosion</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Erosion</w:t>
            </w:r>
          </w:p>
        </w:tc>
      </w:tr>
      <w:tr>
        <w:tc>
          <w:tcPr>
            <w:tcW w:type="dxa" w:w="3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Scratch</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Scratch/Gouge</w:t>
            </w:r>
          </w:p>
        </w:tc>
        <w:tc>
          <w:tcPr>
            <w:tcW w:type="dxa" w:w="308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Scratch - Scratch/Gouge</w:t>
            </w:r>
          </w:p>
        </w:tc>
      </w:tr>
      <w:tr>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 (full table in Conversions tab)</w:t>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
            </w:r>
          </w:p>
        </w:tc>
        <w:tc>
          <w:tcPr>
            <w:tcW w:type="dxa" w:w="308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
            </w:r>
          </w:p>
        </w:tc>
      </w:tr>
    </w:tbl>
    <w:p>
      <w:pPr>
        <w:spacing w:after="0" w:before="0"/>
      </w:pPr>
      <w:r>
        <w:t xml:space="preserve"/>
      </w:r>
    </w:p>
    <w:p>
      <w:pPr>
        <w:spacing w:after="60" w:before="200"/>
      </w:pPr>
      <w:r>
        <w:rPr>
          <w:rFonts w:ascii="Arial" w:cs="Arial" w:eastAsia="Arial" w:hAnsi="Arial"/>
          <w:b/>
          <w:bCs/>
          <w:color w:val="1A1A1A"/>
          <w:sz w:val="22"/>
          <w:szCs w:val="22"/>
        </w:rPr>
        <w:t xml:space="preserve">Blade Side</w:t>
      </w:r>
    </w:p>
    <w:p>
      <w:pPr>
        <w:spacing w:after="60" w:before="60"/>
      </w:pPr>
      <w:r>
        <w:rPr>
          <w:rFonts w:ascii="Arial" w:cs="Arial" w:eastAsia="Arial" w:hAnsi="Arial"/>
          <w:b/>
          <w:bCs/>
          <w:color w:val="1A1A1A"/>
          <w:sz w:val="20"/>
          <w:szCs w:val="20"/>
        </w:rPr>
        <w:t xml:space="preserve">Source: </w:t>
      </w:r>
      <w:r>
        <w:rPr>
          <w:rFonts w:ascii="Arial" w:cs="Arial" w:eastAsia="Arial" w:hAnsi="Arial"/>
          <w:color w:val="1A1A1A"/>
          <w:sz w:val="20"/>
          <w:szCs w:val="20"/>
        </w:rPr>
        <w:t xml:space="preserve">Blade Side column (direct lookup — no concatenation)</w:t>
      </w:r>
    </w:p>
    <w:p>
      <w:pPr>
        <w:spacing w:after="60" w:before="60"/>
      </w:pPr>
      <w:r>
        <w:rPr>
          <w:rFonts w:ascii="Arial" w:cs="Arial" w:eastAsia="Arial" w:hAnsi="Arial"/>
          <w:b/>
          <w:bCs/>
          <w:color w:val="1A1A1A"/>
          <w:sz w:val="20"/>
          <w:szCs w:val="20"/>
        </w:rPr>
        <w:t xml:space="preserve">Output columns: </w:t>
      </w:r>
      <w:r>
        <w:rPr>
          <w:rFonts w:ascii="Arial" w:cs="Arial" w:eastAsia="Arial" w:hAnsi="Arial"/>
          <w:color w:val="1A1A1A"/>
          <w:sz w:val="20"/>
          <w:szCs w:val="20"/>
        </w:rPr>
        <w:t xml:space="preserve">Blade Side  →  Output 1 Blade Side  →  the OEM Blade Side</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the Source Platform Blade Side</w:t>
            </w:r>
          </w:p>
        </w:tc>
        <w:tc>
          <w:tcPr>
            <w:tcW w:type="dxa" w:w="312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the organization Blade Side</w:t>
            </w:r>
          </w:p>
        </w:tc>
        <w:tc>
          <w:tcPr>
            <w:tcW w:type="dxa" w:w="312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the OEM Blade Side</w:t>
            </w:r>
          </w:p>
        </w:tc>
      </w:tr>
      <w:tr>
        <w:tc>
          <w:tcPr>
            <w:tcW w:type="dxa" w:w="312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Suction Side</w:t>
            </w:r>
          </w:p>
        </w:tc>
        <w:tc>
          <w:tcPr>
            <w:tcW w:type="dxa" w:w="312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Suction Side</w:t>
            </w:r>
          </w:p>
        </w:tc>
        <w:tc>
          <w:tcPr>
            <w:tcW w:type="dxa" w:w="312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Leeward</w:t>
            </w:r>
          </w:p>
        </w:tc>
      </w:tr>
      <w:tr>
        <w:tc>
          <w:tcPr>
            <w:tcW w:type="dxa" w:w="312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Pressure Side</w:t>
            </w:r>
          </w:p>
        </w:tc>
        <w:tc>
          <w:tcPr>
            <w:tcW w:type="dxa" w:w="312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Pressure Side</w:t>
            </w:r>
          </w:p>
        </w:tc>
        <w:tc>
          <w:tcPr>
            <w:tcW w:type="dxa" w:w="312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Windward</w:t>
            </w:r>
          </w:p>
        </w:tc>
      </w:tr>
      <w:tr>
        <w:tc>
          <w:tcPr>
            <w:tcW w:type="dxa" w:w="312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Leading Edge</w:t>
            </w:r>
          </w:p>
        </w:tc>
        <w:tc>
          <w:tcPr>
            <w:tcW w:type="dxa" w:w="312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Leading Edge</w:t>
            </w:r>
          </w:p>
        </w:tc>
        <w:tc>
          <w:tcPr>
            <w:tcW w:type="dxa" w:w="312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Leading Edge</w:t>
            </w:r>
          </w:p>
        </w:tc>
      </w:tr>
      <w:tr>
        <w:tc>
          <w:tcPr>
            <w:tcW w:type="dxa" w:w="312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Trailing Edge</w:t>
            </w:r>
          </w:p>
        </w:tc>
        <w:tc>
          <w:tcPr>
            <w:tcW w:type="dxa" w:w="312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Trailing Edge</w:t>
            </w:r>
          </w:p>
        </w:tc>
        <w:tc>
          <w:tcPr>
            <w:tcW w:type="dxa" w:w="312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Trailing Edge</w:t>
            </w:r>
          </w:p>
        </w:tc>
      </w:tr>
    </w:tbl>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Supported Dataset Formats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2200"/>
        <w:gridCol w:w="2200"/>
        <w:gridCol w:w="1560"/>
      </w:tblGrid>
      <w:tr>
        <w:trPr>
          <w:tblHeader/>
        </w:trPr>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Format</w:t>
            </w:r>
          </w:p>
        </w:tc>
        <w:tc>
          <w:tcPr>
            <w:tcW w:type="dxa" w:w="2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Known Source</w:t>
            </w:r>
          </w:p>
        </w:tc>
        <w:tc>
          <w:tcPr>
            <w:tcW w:type="dxa" w:w="2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Element Columns</w:t>
            </w:r>
          </w:p>
        </w:tc>
        <w:tc>
          <w:tcPr>
            <w:tcW w:type="dxa" w:w="2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Anomaly Type Columns</w:t>
            </w:r>
          </w:p>
        </w:tc>
        <w:tc>
          <w:tcPr>
            <w:tcW w:type="dxa" w:w="15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Blade Column</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Format A</w:t>
            </w:r>
          </w:p>
        </w:tc>
        <w:tc>
          <w:tcPr>
            <w:tcW w:type="dxa" w:w="2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Dataset A (the Source Platform)</w:t>
            </w:r>
          </w:p>
        </w:tc>
        <w:tc>
          <w:tcPr>
            <w:tcW w:type="dxa" w:w="2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Component + Material</w:t>
            </w:r>
          </w:p>
        </w:tc>
        <w:tc>
          <w:tcPr>
            <w:tcW w:type="dxa" w:w="2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Type + Subtype</w:t>
            </w:r>
          </w:p>
        </w:tc>
        <w:tc>
          <w:tcPr>
            <w:tcW w:type="dxa" w:w="15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Empty — extracted from Asset</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Format B</w:t>
            </w:r>
          </w:p>
        </w:tc>
        <w:tc>
          <w:tcPr>
            <w:tcW w:type="dxa" w:w="2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Dataset B (the Source Platform)</w:t>
            </w:r>
          </w:p>
        </w:tc>
        <w:tc>
          <w:tcPr>
            <w:tcW w:type="dxa" w:w="2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Component + Element</w:t>
            </w:r>
          </w:p>
        </w:tc>
        <w:tc>
          <w:tcPr>
            <w:tcW w:type="dxa" w:w="2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Anomaly Type + Subtype</w:t>
            </w:r>
          </w:p>
        </w:tc>
        <w:tc>
          <w:tcPr>
            <w:tcW w:type="dxa" w:w="15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"Blade A" — letter extracted</w:t>
            </w:r>
          </w:p>
        </w:tc>
      </w:tr>
    </w:tbl>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Assumptions &amp; Constraints</w:t>
      </w:r>
    </w:p>
    <w:p>
      <w:pPr>
        <w:spacing w:after="60" w:before="200"/>
      </w:pPr>
      <w:r>
        <w:rPr>
          <w:rFonts w:ascii="Arial" w:cs="Arial" w:eastAsia="Arial" w:hAnsi="Arial"/>
          <w:b/>
          <w:bCs/>
          <w:color w:val="1A1A1A"/>
          <w:sz w:val="22"/>
          <w:szCs w:val="22"/>
        </w:rPr>
        <w:t xml:space="preserve">Assumptions</w:t>
      </w:r>
    </w:p>
    <w:p>
      <w:pPr>
        <w:pStyle w:val="ListParagraph"/>
        <w:numPr>
          <w:ilvl w:val="0"/>
          <w:numId w:val="2"/>
        </w:numPr>
        <w:spacing w:after="40" w:before="40"/>
      </w:pPr>
      <w:r>
        <w:rPr>
          <w:rFonts w:ascii="Arial" w:cs="Arial" w:eastAsia="Arial" w:hAnsi="Arial"/>
          <w:color w:val="1A1A1A"/>
          <w:sz w:val="20"/>
          <w:szCs w:val="20"/>
        </w:rPr>
        <w:t xml:space="preserve">All source files are the source inspection platform exports. The tool is not designed for other inspection platform formats.</w:t>
      </w:r>
    </w:p>
    <w:p>
      <w:pPr>
        <w:pStyle w:val="ListParagraph"/>
        <w:numPr>
          <w:ilvl w:val="0"/>
          <w:numId w:val="2"/>
        </w:numPr>
        <w:spacing w:after="40" w:before="40"/>
      </w:pPr>
      <w:r>
        <w:rPr>
          <w:rFonts w:ascii="Arial" w:cs="Arial" w:eastAsia="Arial" w:hAnsi="Arial"/>
          <w:color w:val="1A1A1A"/>
          <w:sz w:val="20"/>
          <w:szCs w:val="20"/>
        </w:rPr>
        <w:t xml:space="preserve">The first sheet of any XLSX file contains the inspection data.</w:t>
      </w:r>
    </w:p>
    <w:p>
      <w:pPr>
        <w:pStyle w:val="ListParagraph"/>
        <w:numPr>
          <w:ilvl w:val="0"/>
          <w:numId w:val="2"/>
        </w:numPr>
        <w:spacing w:after="40" w:before="40"/>
      </w:pPr>
      <w:r>
        <w:rPr>
          <w:rFonts w:ascii="Arial" w:cs="Arial" w:eastAsia="Arial" w:hAnsi="Arial"/>
          <w:color w:val="1A1A1A"/>
          <w:sz w:val="20"/>
          <w:szCs w:val="20"/>
        </w:rPr>
        <w:t xml:space="preserve">Column names in source files are consistent within a given client's export format (one alias map per format variant).</w:t>
      </w:r>
    </w:p>
    <w:p>
      <w:pPr>
        <w:pStyle w:val="ListParagraph"/>
        <w:numPr>
          <w:ilvl w:val="0"/>
          <w:numId w:val="2"/>
        </w:numPr>
        <w:spacing w:after="40" w:before="40"/>
      </w:pPr>
      <w:r>
        <w:rPr>
          <w:rFonts w:ascii="Arial" w:cs="Arial" w:eastAsia="Arial" w:hAnsi="Arial"/>
          <w:color w:val="1A1A1A"/>
          <w:sz w:val="20"/>
          <w:szCs w:val="20"/>
        </w:rPr>
        <w:t xml:space="preserve">Engineering is responsible for maintaining and extending the Conversions tab in exported XLSX files.</w:t>
      </w:r>
    </w:p>
    <w:p>
      <w:pPr>
        <w:pStyle w:val="ListParagraph"/>
        <w:numPr>
          <w:ilvl w:val="0"/>
          <w:numId w:val="2"/>
        </w:numPr>
        <w:spacing w:after="40" w:before="40"/>
      </w:pPr>
      <w:r>
        <w:rPr>
          <w:rFonts w:ascii="Arial" w:cs="Arial" w:eastAsia="Arial" w:hAnsi="Arial"/>
          <w:color w:val="1A1A1A"/>
          <w:sz w:val="20"/>
          <w:szCs w:val="20"/>
        </w:rPr>
        <w:t xml:space="preserve">the Internal Platform upload specification does not change between tool versions without a corresponding tool update.</w:t>
      </w:r>
    </w:p>
    <w:p>
      <w:pPr>
        <w:spacing w:after="0" w:before="0"/>
      </w:pPr>
      <w:r>
        <w:t xml:space="preserve"/>
      </w:r>
    </w:p>
    <w:p>
      <w:pPr>
        <w:spacing w:after="60" w:before="200"/>
      </w:pPr>
      <w:r>
        <w:rPr>
          <w:rFonts w:ascii="Arial" w:cs="Arial" w:eastAsia="Arial" w:hAnsi="Arial"/>
          <w:b/>
          <w:bCs/>
          <w:color w:val="1A1A1A"/>
          <w:sz w:val="22"/>
          <w:szCs w:val="22"/>
        </w:rPr>
        <w:t xml:space="preserve">Constraints</w:t>
      </w:r>
    </w:p>
    <w:p>
      <w:pPr>
        <w:pStyle w:val="ListParagraph"/>
        <w:numPr>
          <w:ilvl w:val="0"/>
          <w:numId w:val="2"/>
        </w:numPr>
        <w:spacing w:after="40" w:before="40"/>
      </w:pPr>
      <w:r>
        <w:rPr>
          <w:rFonts w:ascii="Arial" w:cs="Arial" w:eastAsia="Arial" w:hAnsi="Arial"/>
          <w:color w:val="1A1A1A"/>
          <w:sz w:val="20"/>
          <w:szCs w:val="20"/>
        </w:rPr>
        <w:t xml:space="preserve">No server infrastructure available — tool must run entirely client-side.</w:t>
      </w:r>
    </w:p>
    <w:p>
      <w:pPr>
        <w:pStyle w:val="ListParagraph"/>
        <w:numPr>
          <w:ilvl w:val="0"/>
          <w:numId w:val="2"/>
        </w:numPr>
        <w:spacing w:after="40" w:before="40"/>
      </w:pPr>
      <w:r>
        <w:rPr>
          <w:rFonts w:ascii="Arial" w:cs="Arial" w:eastAsia="Arial" w:hAnsi="Arial"/>
          <w:color w:val="1A1A1A"/>
          <w:sz w:val="20"/>
          <w:szCs w:val="20"/>
        </w:rPr>
        <w:t xml:space="preserve">Google Apps Script deployment is restricted by company IT policy for user-facing web apps. Distribution via shared Google Drive folder is the approved method.  </w:t>
      </w:r>
    </w:p>
    <w:p>
      <w:pPr>
        <w:pStyle w:val="ListParagraph"/>
        <w:numPr>
          <w:ilvl w:val="0"/>
          <w:numId w:val="2"/>
        </w:numPr>
        <w:spacing w:after="40" w:before="40"/>
      </w:pPr>
      <w:r>
        <w:rPr>
          <w:rFonts w:ascii="Arial" w:cs="Arial" w:eastAsia="Arial" w:hAnsi="Arial"/>
          <w:color w:val="1A1A1A"/>
          <w:sz w:val="20"/>
          <w:szCs w:val="20"/>
        </w:rPr>
        <w:t xml:space="preserve">SheetJS is the only permitted third-party dependency for XLSX handling.</w:t>
      </w:r>
    </w:p>
    <w:p>
      <w:pPr>
        <w:pStyle w:val="ListParagraph"/>
        <w:numPr>
          <w:ilvl w:val="0"/>
          <w:numId w:val="2"/>
        </w:numPr>
        <w:spacing w:after="40" w:before="40"/>
      </w:pPr>
      <w:r>
        <w:rPr>
          <w:rFonts w:ascii="Arial" w:cs="Arial" w:eastAsia="Arial" w:hAnsi="Arial"/>
          <w:color w:val="1A1A1A"/>
          <w:sz w:val="20"/>
          <w:szCs w:val="20"/>
        </w:rPr>
        <w:t xml:space="preserve">VLOOKUP row ranges in exported XLSX are calculated at export time. Adding rows to the Conversions tab beyond the current range requires Engineering to update formula references manually.</w:t>
      </w:r>
    </w:p>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Future Considerations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5160"/>
        <w:gridCol w:w="1400"/>
      </w:tblGrid>
      <w:tr>
        <w:trPr>
          <w:tblHeader/>
        </w:trPr>
        <w:tc>
          <w:tcPr>
            <w:tcW w:type="dxa" w:w="28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Feature</w:t>
            </w:r>
          </w:p>
        </w:tc>
        <w:tc>
          <w:tcPr>
            <w:tcW w:type="dxa" w:w="51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Description</w:t>
            </w:r>
          </w:p>
        </w:tc>
        <w:tc>
          <w:tcPr>
            <w:tcW w:type="dxa" w:w="14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Priority</w:t>
            </w:r>
          </w:p>
        </w:tc>
      </w:tr>
      <w:tr>
        <w:tc>
          <w:tcPr>
            <w:tcW w:type="dxa" w:w="2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Persistent manual review mappings</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Save resolved Manual Review mappings to browser localStorage so they auto-apply on future runs of the same dataset type</w:t>
            </w:r>
          </w:p>
        </w:tc>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High</w:t>
            </w:r>
          </w:p>
        </w:tc>
      </w:tr>
      <w:tr>
        <w:tc>
          <w:tcPr>
            <w:tcW w:type="dxa" w:w="2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Cross-field conditional validation</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Flag BladeChamber as required when Damage Location = Internal</w:t>
            </w:r>
          </w:p>
        </w:tc>
        <w:tc>
          <w:tcPr>
            <w:tcW w:type="dxa" w:w="1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High</w:t>
            </w:r>
          </w:p>
        </w:tc>
      </w:tr>
      <w:tr>
        <w:tc>
          <w:tcPr>
            <w:tcW w:type="dxa" w:w="2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Duplicate anomaly ID detection</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Flag rows where ID appears more than once in the dataset</w:t>
            </w:r>
          </w:p>
        </w:tc>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Medium</w:t>
            </w:r>
          </w:p>
        </w:tc>
      </w:tr>
      <w:tr>
        <w:tc>
          <w:tcPr>
            <w:tcW w:type="dxa" w:w="2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Dynamic VLOOKUP range expansion</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Auto-extend formula ranges when Engineering adds rows to Conversions tab</w:t>
            </w:r>
          </w:p>
        </w:tc>
        <w:tc>
          <w:tcPr>
            <w:tcW w:type="dxa" w:w="1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Medium</w:t>
            </w:r>
          </w:p>
        </w:tc>
      </w:tr>
      <w:tr>
        <w:tc>
          <w:tcPr>
            <w:tcW w:type="dxa" w:w="2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Audit logging</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Write validation run summary (user, filename, stats, timestamp) to a shared Google Sheet — pending IT approval for API access</w:t>
            </w:r>
          </w:p>
        </w:tc>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Medium</w:t>
            </w:r>
          </w:p>
        </w:tc>
      </w:tr>
      <w:tr>
        <w:tc>
          <w:tcPr>
            <w:tcW w:type="dxa" w:w="2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Direct platform upload</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Submit validated and converted dataset directly to the Internal Platform upload endpoint</w:t>
            </w:r>
          </w:p>
        </w:tc>
        <w:tc>
          <w:tcPr>
            <w:tcW w:type="dxa" w:w="1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Low</w:t>
            </w:r>
          </w:p>
        </w:tc>
      </w:tr>
      <w:tr>
        <w:tc>
          <w:tcPr>
            <w:tcW w:type="dxa" w:w="2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Additional source platform support</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Extend column alias map and format detection to support inspection exports from platforms beyond the source inspection platform</w:t>
            </w:r>
          </w:p>
        </w:tc>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Low</w:t>
            </w:r>
          </w:p>
        </w:tc>
      </w:tr>
    </w:tbl>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Sign-off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800"/>
        <w:gridCol w:w="2000"/>
        <w:gridCol w:w="2160"/>
      </w:tblGrid>
      <w:tr>
        <w:trPr>
          <w:tblHeader/>
        </w:trPr>
        <w:tc>
          <w:tcPr>
            <w:tcW w:type="dxa" w:w="24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Role</w:t>
            </w:r>
          </w:p>
        </w:tc>
        <w:tc>
          <w:tcPr>
            <w:tcW w:type="dxa" w:w="28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Name</w:t>
            </w:r>
          </w:p>
        </w:tc>
        <w:tc>
          <w:tcPr>
            <w:tcW w:type="dxa" w:w="20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Date</w:t>
            </w:r>
          </w:p>
        </w:tc>
        <w:tc>
          <w:tcPr>
            <w:tcW w:type="dxa" w:w="21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Status</w:t>
            </w:r>
          </w:p>
        </w:tc>
      </w:tr>
      <w:tr>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Product Owner</w:t>
            </w:r>
          </w:p>
        </w:tc>
        <w:tc>
          <w:tcPr>
            <w:tcW w:type="dxa" w:w="2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May 2026</w:t>
            </w:r>
          </w:p>
        </w:tc>
        <w:tc>
          <w:tcPr>
            <w:tcW w:type="dxa" w:w="2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Pending</w:t>
            </w:r>
          </w:p>
        </w:tc>
      </w:tr>
      <w:tr>
        <w:tc>
          <w:tcPr>
            <w:tcW w:type="dxa" w:w="2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Engineering Lead</w:t>
            </w:r>
          </w:p>
        </w:tc>
        <w:tc>
          <w:tcPr>
            <w:tcW w:type="dxa" w:w="2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May 2026</w:t>
            </w:r>
          </w:p>
        </w:tc>
        <w:tc>
          <w:tcPr>
            <w:tcW w:type="dxa" w:w="2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8"/>
                <w:szCs w:val="18"/>
              </w:rPr>
              <w:t xml:space="preserve">Pending</w:t>
            </w:r>
          </w:p>
        </w:tc>
      </w:tr>
      <w:tr>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Data Operations</w:t>
            </w:r>
          </w:p>
        </w:tc>
        <w:tc>
          <w:tcPr>
            <w:tcW w:type="dxa" w:w="2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May 2026</w:t>
            </w:r>
          </w:p>
        </w:tc>
        <w:tc>
          <w:tcPr>
            <w:tcW w:type="dxa" w:w="2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8"/>
                <w:szCs w:val="18"/>
              </w:rPr>
              <w:t xml:space="preserve">Pending</w:t>
            </w:r>
          </w:p>
        </w:tc>
      </w:tr>
    </w:tbl>
    <w:p>
      <w:pPr>
        <w:spacing w:after="0" w:before="0"/>
      </w:pPr>
      <w:r>
        <w:t xml:space="preserve"/>
      </w:r>
    </w:p>
    <w:p>
      <w:pPr>
        <w:pBdr>
          <w:top w:val="single" w:color="D0D7DE" w:sz="4" w:space="4"/>
        </w:pBdr>
        <w:spacing w:after="0" w:before="240"/>
      </w:pPr>
      <w:r>
        <w:rPr>
          <w:rFonts w:ascii="Arial" w:cs="Arial" w:eastAsia="Arial" w:hAnsi="Arial"/>
          <w:i/>
          <w:iCs/>
          <w:color w:val="4A5568"/>
          <w:sz w:val="16"/>
          <w:szCs w:val="16"/>
        </w:rPr>
        <w:t xml:space="preserve">Anomaly Upload Validator  ·  the organization  ·  Internal Use Only  ·  May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0D3349"/>
      <w:sz w:val="36"/>
      <w:szCs w:val="36"/>
    </w:rPr>
  </w:style>
  <w:style w:type="paragraph" w:styleId="Heading2">
    <w:name w:val="Heading 2"/>
    <w:basedOn w:val="Normal"/>
    <w:next w:val="Normal"/>
    <w:qFormat/>
    <w:pPr>
      <w:spacing w:after="80" w:before="280"/>
      <w:outlineLvl w:val="1"/>
    </w:pPr>
    <w:rPr>
      <w:rFonts w:ascii="Arial" w:cs="Arial" w:eastAsia="Arial" w:hAnsi="Arial"/>
      <w:b/>
      <w:bCs/>
      <w:color w:val="1B5E8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2026-05-02T02:17:56.740Z</dcterms:created>
  <dcterms:modified xsi:type="dcterms:W3CDTF">2026-05-02T02:17:56.755Z</dcterms:modified>
</cp:coreProperties>
</file>

<file path=docProps/custom.xml><?xml version="1.0" encoding="utf-8"?>
<Properties xmlns="http://schemas.openxmlformats.org/officeDocument/2006/custom-properties" xmlns:vt="http://schemas.openxmlformats.org/officeDocument/2006/docPropsVTypes"/>
</file>