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pPr>
      <w:r>
        <w:rPr>
          <w:rFonts w:ascii="Arial" w:cs="Arial" w:eastAsia="Arial" w:hAnsi="Arial"/>
          <w:b/>
          <w:bCs/>
          <w:color w:val="0D3349"/>
          <w:sz w:val="52"/>
          <w:szCs w:val="52"/>
        </w:rPr>
        <w:t xml:space="preserve">Anomaly Upload Validator</w:t>
      </w:r>
    </w:p>
    <w:p>
      <w:pPr>
        <w:spacing w:after="80" w:before="0"/>
      </w:pPr>
      <w:r>
        <w:rPr>
          <w:rFonts w:ascii="Arial" w:cs="Arial" w:eastAsia="Arial" w:hAnsi="Arial"/>
          <w:color w:val="00A97F"/>
          <w:sz w:val="32"/>
          <w:szCs w:val="32"/>
        </w:rPr>
        <w:t xml:space="preserve">Data Dictionary</w:t>
      </w:r>
    </w:p>
    <w:p>
      <w:pPr>
        <w:pBdr>
          <w:bottom w:val="single" w:color="00A97F" w:sz="6" w:space="4"/>
        </w:pBdr>
        <w:spacing w:after="240" w:before="0"/>
      </w:pPr>
      <w:r>
        <w:rPr>
          <w:rFonts w:ascii="Arial" w:cs="Arial" w:eastAsia="Arial" w:hAnsi="Arial"/>
          <w:color w:val="4A5568"/>
          <w:sz w:val="18"/>
          <w:szCs w:val="18"/>
        </w:rPr>
        <w:t xml:space="preserve">the organization  ·  Internal Tool  ·  v2.1  ·  May 2026</w:t>
      </w:r>
    </w:p>
    <w:p>
      <w:pPr>
        <w:pStyle w:val="Heading2"/>
        <w:pBdr>
          <w:bottom w:val="single" w:color="00A97F" w:sz="4" w:space="4"/>
        </w:pBdr>
        <w:spacing w:after="80" w:before="320"/>
      </w:pPr>
      <w:r>
        <w:rPr>
          <w:rFonts w:ascii="Arial" w:cs="Arial" w:eastAsia="Arial" w:hAnsi="Arial"/>
          <w:b/>
          <w:bCs/>
          <w:color w:val="1B5E8A"/>
          <w:sz w:val="26"/>
          <w:szCs w:val="26"/>
        </w:rPr>
        <w:t xml:space="preserve">Overview</w:t>
      </w:r>
    </w:p>
    <w:p>
      <w:pPr>
        <w:spacing w:after="60" w:before="60"/>
      </w:pPr>
      <w:r>
        <w:rPr>
          <w:rFonts w:ascii="Arial" w:cs="Arial" w:eastAsia="Arial" w:hAnsi="Arial"/>
          <w:color w:val="1A1A1A"/>
          <w:sz w:val="20"/>
          <w:szCs w:val="20"/>
        </w:rPr>
        <w:t xml:space="preserve">This data dictionary defines every field processed by the Anomaly Upload Validator — from raw the source inspection platform export columns through to derived conversion output columns in the exported XLSX. It covers field names, source column mappings, data types, classification, validation rules, and conversion output targets.</w:t>
      </w:r>
    </w:p>
    <w:p>
      <w:pPr>
        <w:spacing w:after="0" w:before="0"/>
      </w:pPr>
      <w:r>
        <w:t xml:space="preserve"/>
      </w:r>
    </w:p>
    <w:p>
      <w:pPr>
        <w:pStyle w:val="Heading2"/>
        <w:pBdr>
          <w:bottom w:val="single" w:color="00A97F" w:sz="4" w:space="4"/>
        </w:pBdr>
        <w:spacing w:after="80" w:before="320"/>
      </w:pPr>
      <w:r>
        <w:rPr>
          <w:rFonts w:ascii="Arial" w:cs="Arial" w:eastAsia="Arial" w:hAnsi="Arial"/>
          <w:b/>
          <w:bCs/>
          <w:color w:val="1B5E8A"/>
          <w:sz w:val="26"/>
          <w:szCs w:val="26"/>
        </w:rPr>
        <w:t xml:space="preserve">Field Classification Key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760"/>
      </w:tblGrid>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C0392B"/>
                <w:sz w:val="18"/>
                <w:szCs w:val="18"/>
              </w:rPr>
              <w:t xml:space="preserve">Required</w:t>
            </w:r>
          </w:p>
        </w:tc>
        <w:tc>
          <w:tcPr>
            <w:tcW w:type="dxa" w:w="77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Must be present and non-empty in every data row. Missing or invalid values raise an Error.</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F5A623"/>
                <w:sz w:val="18"/>
                <w:szCs w:val="18"/>
              </w:rPr>
              <w:t xml:space="preserve">Conditional</w:t>
            </w:r>
          </w:p>
        </w:tc>
        <w:tc>
          <w:tcPr>
            <w:tcW w:type="dxa" w:w="77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4A5568"/>
                <w:sz w:val="18"/>
                <w:szCs w:val="18"/>
              </w:rPr>
              <w:t xml:space="preserve">Optional fields. No flag raised if absent or empty. Format validated only when populated.</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0891B2"/>
                <w:sz w:val="18"/>
                <w:szCs w:val="18"/>
              </w:rPr>
              <w:t xml:space="preserve">Check Internally</w:t>
            </w:r>
          </w:p>
        </w:tc>
        <w:tc>
          <w:tcPr>
            <w:tcW w:type="dxa" w:w="77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Required in principle but may exist in internal records. Empty value raises Check Internally flag (not Error); excluded from compliance score.</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B5E8A"/>
                <w:sz w:val="18"/>
                <w:szCs w:val="18"/>
              </w:rPr>
              <w:t xml:space="preserve">Raw</w:t>
            </w:r>
          </w:p>
        </w:tc>
        <w:tc>
          <w:tcPr>
            <w:tcW w:type="dxa" w:w="77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4A5568"/>
                <w:sz w:val="18"/>
                <w:szCs w:val="18"/>
              </w:rPr>
              <w:t xml:space="preserve">Source columns used only as inputs to derivation formulas. Not directly validated.</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27AE60"/>
                <w:sz w:val="18"/>
                <w:szCs w:val="18"/>
              </w:rPr>
              <w:t xml:space="preserve">Derived</w:t>
            </w:r>
          </w:p>
        </w:tc>
        <w:tc>
          <w:tcPr>
            <w:tcW w:type="dxa" w:w="77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Fields computed by the tool from raw source columns. Written to the output XLSX as formulas.</w:t>
            </w:r>
          </w:p>
        </w:tc>
      </w:tr>
    </w:tbl>
    <w:p>
      <w:pPr>
        <w:spacing w:after="0" w:before="0"/>
      </w:pPr>
      <w:r>
        <w:t xml:space="preserve"/>
      </w:r>
    </w:p>
    <w:p>
      <w:pPr>
        <w:pStyle w:val="Heading2"/>
        <w:pBdr>
          <w:bottom w:val="single" w:color="00A97F" w:sz="4" w:space="4"/>
        </w:pBdr>
        <w:spacing w:after="80" w:before="320"/>
      </w:pPr>
      <w:r>
        <w:rPr>
          <w:rFonts w:ascii="Arial" w:cs="Arial" w:eastAsia="Arial" w:hAnsi="Arial"/>
          <w:b/>
          <w:bCs/>
          <w:color w:val="1B5E8A"/>
          <w:sz w:val="26"/>
          <w:szCs w:val="26"/>
        </w:rPr>
        <w:t xml:space="preserve">Column Alias Map</w:t>
      </w:r>
    </w:p>
    <w:p>
      <w:pPr>
        <w:spacing w:after="60" w:before="60"/>
      </w:pPr>
      <w:r>
        <w:rPr>
          <w:rFonts w:ascii="Arial" w:cs="Arial" w:eastAsia="Arial" w:hAnsi="Arial"/>
          <w:color w:val="1A1A1A"/>
          <w:sz w:val="20"/>
          <w:szCs w:val="20"/>
        </w:rPr>
        <w:t xml:space="preserve">The tool normalises the following column name variants before validation. Aliases are applied silently at ingestion time.</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3200"/>
        <w:gridCol w:w="2960"/>
      </w:tblGrid>
      <w:tr>
        <w:trPr>
          <w:tblHeader/>
        </w:trPr>
        <w:tc>
          <w:tcPr>
            <w:tcW w:type="dxa" w:w="32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Raw Column Name</w:t>
            </w:r>
          </w:p>
        </w:tc>
        <w:tc>
          <w:tcPr>
            <w:tcW w:type="dxa" w:w="32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Normalized To</w:t>
            </w:r>
          </w:p>
        </w:tc>
        <w:tc>
          <w:tcPr>
            <w:tcW w:type="dxa" w:w="296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Notes</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Date</w:t>
            </w:r>
          </w:p>
        </w:tc>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Inspection Date</w:t>
            </w:r>
          </w:p>
        </w:tc>
        <w:tc>
          <w:tcPr>
            <w:tcW w:type="dxa" w:w="296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Arial" w:cs="Arial" w:eastAsia="Arial" w:hAnsi="Arial"/>
                <w:color w:val="4A5568"/>
                <w:sz w:val="17"/>
                <w:szCs w:val="17"/>
              </w:rPr>
              <w:t xml:space="preserve">source platform export uses "Date"; platform requires "Inspection Date"</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Blade Chamber</w:t>
            </w:r>
          </w:p>
        </w:tc>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BladeChamber</w:t>
            </w:r>
          </w:p>
        </w:tc>
        <w:tc>
          <w:tcPr>
            <w:tcW w:type="dxa" w:w="296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Arial" w:cs="Arial" w:eastAsia="Arial" w:hAnsi="Arial"/>
                <w:color w:val="4A5568"/>
                <w:sz w:val="17"/>
                <w:szCs w:val="17"/>
              </w:rPr>
              <w:t xml:space="preserve">Space removed to match platform column spec</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Chord (%)</w:t>
            </w:r>
          </w:p>
        </w:tc>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Chord(%)</w:t>
            </w:r>
          </w:p>
        </w:tc>
        <w:tc>
          <w:tcPr>
            <w:tcW w:type="dxa" w:w="296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Arial" w:cs="Arial" w:eastAsia="Arial" w:hAnsi="Arial"/>
                <w:color w:val="4A5568"/>
                <w:sz w:val="17"/>
                <w:szCs w:val="17"/>
              </w:rPr>
              <w:t xml:space="preserve">Parenthetical formatting normalized</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Turbine Serial Number</w:t>
            </w:r>
          </w:p>
        </w:tc>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Serial Number</w:t>
            </w:r>
          </w:p>
        </w:tc>
        <w:tc>
          <w:tcPr>
            <w:tcW w:type="dxa" w:w="296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Arial" w:cs="Arial" w:eastAsia="Arial" w:hAnsi="Arial"/>
                <w:color w:val="4A5568"/>
                <w:sz w:val="17"/>
                <w:szCs w:val="17"/>
              </w:rPr>
              <w:t xml:space="preserve">the Source Platform full label mapped to platform short label</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Links</w:t>
            </w:r>
          </w:p>
        </w:tc>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Source Images</w:t>
            </w:r>
          </w:p>
        </w:tc>
        <w:tc>
          <w:tcPr>
            <w:tcW w:type="dxa" w:w="296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Arial" w:cs="Arial" w:eastAsia="Arial" w:hAnsi="Arial"/>
                <w:color w:val="4A5568"/>
                <w:sz w:val="17"/>
                <w:szCs w:val="17"/>
              </w:rPr>
              <w:t xml:space="preserve">the Source Platform uses "Links"; platform expects "Source Images"</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Inspection Date</w:t>
            </w:r>
          </w:p>
        </w:tc>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Inspection Date</w:t>
            </w:r>
          </w:p>
        </w:tc>
        <w:tc>
          <w:tcPr>
            <w:tcW w:type="dxa" w:w="296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Arial" w:cs="Arial" w:eastAsia="Arial" w:hAnsi="Arial"/>
                <w:color w:val="4A5568"/>
                <w:sz w:val="17"/>
                <w:szCs w:val="17"/>
              </w:rPr>
              <w:t xml:space="preserve">Pass-through — already correct</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BladeChamber</w:t>
            </w:r>
          </w:p>
        </w:tc>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BladeChamber</w:t>
            </w:r>
          </w:p>
        </w:tc>
        <w:tc>
          <w:tcPr>
            <w:tcW w:type="dxa" w:w="296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Arial" w:cs="Arial" w:eastAsia="Arial" w:hAnsi="Arial"/>
                <w:color w:val="4A5568"/>
                <w:sz w:val="17"/>
                <w:szCs w:val="17"/>
              </w:rPr>
              <w:t xml:space="preserve">Pass-through — already correct</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Chord(%)</w:t>
            </w:r>
          </w:p>
        </w:tc>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Chord(%)</w:t>
            </w:r>
          </w:p>
        </w:tc>
        <w:tc>
          <w:tcPr>
            <w:tcW w:type="dxa" w:w="296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Arial" w:cs="Arial" w:eastAsia="Arial" w:hAnsi="Arial"/>
                <w:color w:val="4A5568"/>
                <w:sz w:val="17"/>
                <w:szCs w:val="17"/>
              </w:rPr>
              <w:t xml:space="preserve">Pass-through — already correct</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Serial Number</w:t>
            </w:r>
          </w:p>
        </w:tc>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Serial Number</w:t>
            </w:r>
          </w:p>
        </w:tc>
        <w:tc>
          <w:tcPr>
            <w:tcW w:type="dxa" w:w="296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Arial" w:cs="Arial" w:eastAsia="Arial" w:hAnsi="Arial"/>
                <w:color w:val="4A5568"/>
                <w:sz w:val="17"/>
                <w:szCs w:val="17"/>
              </w:rPr>
              <w:t xml:space="preserve">Pass-through — already correct</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Source Images</w:t>
            </w:r>
          </w:p>
        </w:tc>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Source Images</w:t>
            </w:r>
          </w:p>
        </w:tc>
        <w:tc>
          <w:tcPr>
            <w:tcW w:type="dxa" w:w="296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Arial" w:cs="Arial" w:eastAsia="Arial" w:hAnsi="Arial"/>
                <w:color w:val="4A5568"/>
                <w:sz w:val="17"/>
                <w:szCs w:val="17"/>
              </w:rPr>
              <w:t xml:space="preserve">Pass-through — already correct</w:t>
            </w:r>
          </w:p>
        </w:tc>
      </w:tr>
    </w:tbl>
    <w:p>
      <w:pPr>
        <w:spacing w:after="0" w:before="0"/>
      </w:pPr>
      <w:r>
        <w:t xml:space="preserve"/>
      </w:r>
    </w:p>
    <w:p>
      <w:r>
        <w:br w:type="page"/>
      </w:r>
    </w:p>
    <w:p>
      <w:pPr>
        <w:pStyle w:val="Heading2"/>
        <w:pBdr>
          <w:bottom w:val="single" w:color="00A97F" w:sz="4" w:space="4"/>
        </w:pBdr>
        <w:spacing w:after="80" w:before="320"/>
      </w:pPr>
      <w:r>
        <w:rPr>
          <w:rFonts w:ascii="Arial" w:cs="Arial" w:eastAsia="Arial" w:hAnsi="Arial"/>
          <w:b/>
          <w:bCs/>
          <w:color w:val="1B5E8A"/>
          <w:sz w:val="26"/>
          <w:szCs w:val="26"/>
        </w:rPr>
        <w:t xml:space="preserve">Field Reference</w:t>
      </w:r>
    </w:p>
    <w:p>
      <w:pPr>
        <w:spacing w:after="60" w:before="60"/>
      </w:pPr>
      <w:r>
        <w:rPr>
          <w:rFonts w:ascii="Arial" w:cs="Arial" w:eastAsia="Arial" w:hAnsi="Arial"/>
          <w:color w:val="1A1A1A"/>
          <w:sz w:val="20"/>
          <w:szCs w:val="20"/>
        </w:rPr>
        <w:t xml:space="preserve">All fields are listed below in the order they appear in the Damages Report output tab.</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1600"/>
        <w:gridCol w:w="900"/>
        <w:gridCol w:w="1200"/>
        <w:gridCol w:w="2060"/>
        <w:gridCol w:w="2000"/>
      </w:tblGrid>
      <w:tr>
        <w:trPr>
          <w:tblHeader/>
        </w:trPr>
        <w:tc>
          <w:tcPr>
            <w:tcW w:type="dxa" w:w="16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Field Name</w:t>
            </w:r>
          </w:p>
        </w:tc>
        <w:tc>
          <w:tcPr>
            <w:tcW w:type="dxa" w:w="16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Source Column(s)</w:t>
            </w:r>
          </w:p>
        </w:tc>
        <w:tc>
          <w:tcPr>
            <w:tcW w:type="dxa" w:w="9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Type</w:t>
            </w:r>
          </w:p>
        </w:tc>
        <w:tc>
          <w:tcPr>
            <w:tcW w:type="dxa" w:w="12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Classification</w:t>
            </w:r>
          </w:p>
        </w:tc>
        <w:tc>
          <w:tcPr>
            <w:tcW w:type="dxa" w:w="206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Format / Validation Rule</w:t>
            </w:r>
          </w:p>
        </w:tc>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Conversion Output</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ID</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color w:val="4A5568"/>
                <w:sz w:val="16"/>
                <w:szCs w:val="16"/>
              </w:rPr>
              <w:t xml:space="preserve">ID</w:t>
            </w:r>
          </w:p>
        </w:tc>
        <w:tc>
          <w:tcPr>
            <w:tcW w:type="dxa" w:w="9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FFFFF" w:val="clear"/>
            <w:tcMar>
              <w:top w:type="dxa" w:w="80"/>
              <w:left w:type="dxa" w:w="80"/>
              <w:bottom w:type="dxa" w:w="80"/>
              <w:right w:type="dxa" w:w="80"/>
            </w:tcMar>
            <w:vAlign w:val="center"/>
          </w:tcPr>
          <w:p>
            <w:pPr>
              <w:jc w:val="center"/>
            </w:pPr>
            <w:r>
              <w:rPr>
                <w:rFonts w:ascii="Arial" w:cs="Arial" w:eastAsia="Arial" w:hAnsi="Arial"/>
                <w:b/>
                <w:bCs/>
                <w:color w:val="C0392B"/>
                <w:sz w:val="15"/>
                <w:szCs w:val="15"/>
              </w:rPr>
              <w:t xml:space="preserve">Required</w:t>
            </w:r>
          </w:p>
        </w:tc>
        <w:tc>
          <w:tcPr>
            <w:tcW w:type="dxa" w:w="20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Any non-empty value</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Site</w:t>
            </w:r>
          </w:p>
        </w:tc>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color w:val="4A5568"/>
                <w:sz w:val="16"/>
                <w:szCs w:val="16"/>
              </w:rPr>
              <w:t xml:space="preserve">Site</w:t>
            </w:r>
          </w:p>
        </w:tc>
        <w:tc>
          <w:tcPr>
            <w:tcW w:type="dxa" w:w="9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4F6F8" w:val="clear"/>
            <w:tcMar>
              <w:top w:type="dxa" w:w="80"/>
              <w:left w:type="dxa" w:w="80"/>
              <w:bottom w:type="dxa" w:w="80"/>
              <w:right w:type="dxa" w:w="80"/>
            </w:tcMar>
            <w:vAlign w:val="center"/>
          </w:tcPr>
          <w:p>
            <w:pPr>
              <w:jc w:val="center"/>
            </w:pPr>
            <w:r>
              <w:rPr>
                <w:rFonts w:ascii="Arial" w:cs="Arial" w:eastAsia="Arial" w:hAnsi="Arial"/>
                <w:b/>
                <w:bCs/>
                <w:color w:val="C0392B"/>
                <w:sz w:val="15"/>
                <w:szCs w:val="15"/>
              </w:rPr>
              <w:t xml:space="preserve">Required</w:t>
            </w:r>
          </w:p>
        </w:tc>
        <w:tc>
          <w:tcPr>
            <w:tcW w:type="dxa" w:w="20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Any non-empty value</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Turbine</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color w:val="4A5568"/>
                <w:sz w:val="16"/>
                <w:szCs w:val="16"/>
              </w:rPr>
              <w:t xml:space="preserve">Turbine</w:t>
            </w:r>
          </w:p>
        </w:tc>
        <w:tc>
          <w:tcPr>
            <w:tcW w:type="dxa" w:w="9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FFFFF" w:val="clear"/>
            <w:tcMar>
              <w:top w:type="dxa" w:w="80"/>
              <w:left w:type="dxa" w:w="80"/>
              <w:bottom w:type="dxa" w:w="80"/>
              <w:right w:type="dxa" w:w="80"/>
            </w:tcMar>
            <w:vAlign w:val="center"/>
          </w:tcPr>
          <w:p>
            <w:pPr>
              <w:jc w:val="center"/>
            </w:pPr>
            <w:r>
              <w:rPr>
                <w:rFonts w:ascii="Arial" w:cs="Arial" w:eastAsia="Arial" w:hAnsi="Arial"/>
                <w:b/>
                <w:bCs/>
                <w:color w:val="C0392B"/>
                <w:sz w:val="15"/>
                <w:szCs w:val="15"/>
              </w:rPr>
              <w:t xml:space="preserve">Required</w:t>
            </w:r>
          </w:p>
        </w:tc>
        <w:tc>
          <w:tcPr>
            <w:tcW w:type="dxa" w:w="20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Any non-empty value</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Asset</w:t>
            </w:r>
          </w:p>
        </w:tc>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color w:val="4A5568"/>
                <w:sz w:val="16"/>
                <w:szCs w:val="16"/>
              </w:rPr>
              <w:t xml:space="preserve">Asset</w:t>
            </w:r>
          </w:p>
        </w:tc>
        <w:tc>
          <w:tcPr>
            <w:tcW w:type="dxa" w:w="9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4F6F8" w:val="clear"/>
            <w:tcMar>
              <w:top w:type="dxa" w:w="80"/>
              <w:left w:type="dxa" w:w="80"/>
              <w:bottom w:type="dxa" w:w="80"/>
              <w:right w:type="dxa" w:w="80"/>
            </w:tcMar>
            <w:vAlign w:val="center"/>
          </w:tcPr>
          <w:p>
            <w:pPr>
              <w:jc w:val="center"/>
            </w:pPr>
            <w:r>
              <w:rPr>
                <w:rFonts w:ascii="Arial" w:cs="Arial" w:eastAsia="Arial" w:hAnsi="Arial"/>
                <w:b/>
                <w:bCs/>
                <w:color w:val="0891B2"/>
                <w:sz w:val="15"/>
                <w:szCs w:val="15"/>
              </w:rPr>
              <w:t xml:space="preserve">Check Internally</w:t>
            </w:r>
          </w:p>
        </w:tc>
        <w:tc>
          <w:tcPr>
            <w:tcW w:type="dxa" w:w="20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Any value; empty → Check Internally flag</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Serial Number</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color w:val="4A5568"/>
                <w:sz w:val="16"/>
                <w:szCs w:val="16"/>
              </w:rPr>
              <w:t xml:space="preserve">Turbine Serial Number (alias)</w:t>
            </w:r>
          </w:p>
        </w:tc>
        <w:tc>
          <w:tcPr>
            <w:tcW w:type="dxa" w:w="9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FFFFF" w:val="clear"/>
            <w:tcMar>
              <w:top w:type="dxa" w:w="80"/>
              <w:left w:type="dxa" w:w="80"/>
              <w:bottom w:type="dxa" w:w="80"/>
              <w:right w:type="dxa" w:w="80"/>
            </w:tcMar>
            <w:vAlign w:val="center"/>
          </w:tcPr>
          <w:p>
            <w:pPr>
              <w:jc w:val="center"/>
            </w:pPr>
            <w:r>
              <w:rPr>
                <w:rFonts w:ascii="Arial" w:cs="Arial" w:eastAsia="Arial" w:hAnsi="Arial"/>
                <w:b/>
                <w:bCs/>
                <w:color w:val="F5A623"/>
                <w:sz w:val="15"/>
                <w:szCs w:val="15"/>
              </w:rPr>
              <w:t xml:space="preserve">Conditional</w:t>
            </w:r>
          </w:p>
        </w:tc>
        <w:tc>
          <w:tcPr>
            <w:tcW w:type="dxa" w:w="20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No validation; fully optional</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Severity</w:t>
            </w:r>
          </w:p>
        </w:tc>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color w:val="4A5568"/>
                <w:sz w:val="16"/>
                <w:szCs w:val="16"/>
              </w:rPr>
              <w:t xml:space="preserve">Severity</w:t>
            </w:r>
          </w:p>
        </w:tc>
        <w:tc>
          <w:tcPr>
            <w:tcW w:type="dxa" w:w="9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Integer</w:t>
            </w:r>
          </w:p>
        </w:tc>
        <w:tc>
          <w:tcPr>
            <w:tcW w:type="dxa" w:w="1200"/>
            <w:tcBorders>
              <w:top w:val="single" w:color="D0D7DE" w:sz="1"/>
              <w:left w:val="single" w:color="D0D7DE" w:sz="1"/>
              <w:bottom w:val="single" w:color="D0D7DE" w:sz="1"/>
              <w:right w:val="single" w:color="D0D7DE" w:sz="1"/>
            </w:tcBorders>
            <w:shd w:fill="F4F6F8" w:val="clear"/>
            <w:tcMar>
              <w:top w:type="dxa" w:w="80"/>
              <w:left w:type="dxa" w:w="80"/>
              <w:bottom w:type="dxa" w:w="80"/>
              <w:right w:type="dxa" w:w="80"/>
            </w:tcMar>
            <w:vAlign w:val="center"/>
          </w:tcPr>
          <w:p>
            <w:pPr>
              <w:jc w:val="center"/>
            </w:pPr>
            <w:r>
              <w:rPr>
                <w:rFonts w:ascii="Arial" w:cs="Arial" w:eastAsia="Arial" w:hAnsi="Arial"/>
                <w:b/>
                <w:bCs/>
                <w:color w:val="C0392B"/>
                <w:sz w:val="15"/>
                <w:szCs w:val="15"/>
              </w:rPr>
              <w:t xml:space="preserve">Required</w:t>
            </w:r>
          </w:p>
        </w:tc>
        <w:tc>
          <w:tcPr>
            <w:tcW w:type="dxa" w:w="20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Must be exactly 1, 2, 3, 4, or 5</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Critical</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color w:val="4A5568"/>
                <w:sz w:val="16"/>
                <w:szCs w:val="16"/>
              </w:rPr>
              <w:t xml:space="preserve">Critical</w:t>
            </w:r>
          </w:p>
        </w:tc>
        <w:tc>
          <w:tcPr>
            <w:tcW w:type="dxa" w:w="9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FFFFF" w:val="clear"/>
            <w:tcMar>
              <w:top w:type="dxa" w:w="80"/>
              <w:left w:type="dxa" w:w="80"/>
              <w:bottom w:type="dxa" w:w="80"/>
              <w:right w:type="dxa" w:w="80"/>
            </w:tcMar>
            <w:vAlign w:val="center"/>
          </w:tcPr>
          <w:p>
            <w:pPr>
              <w:jc w:val="center"/>
            </w:pPr>
            <w:r>
              <w:rPr>
                <w:rFonts w:ascii="Arial" w:cs="Arial" w:eastAsia="Arial" w:hAnsi="Arial"/>
                <w:b/>
                <w:bCs/>
                <w:color w:val="C0392B"/>
                <w:sz w:val="15"/>
                <w:szCs w:val="15"/>
              </w:rPr>
              <w:t xml:space="preserve">Required</w:t>
            </w:r>
          </w:p>
        </w:tc>
        <w:tc>
          <w:tcPr>
            <w:tcW w:type="dxa" w:w="20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"Yes" or "No" (case-insensitive)</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Inspection Date</w:t>
            </w:r>
          </w:p>
        </w:tc>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color w:val="4A5568"/>
                <w:sz w:val="16"/>
                <w:szCs w:val="16"/>
              </w:rPr>
              <w:t xml:space="preserve">Date (alias)</w:t>
            </w:r>
          </w:p>
        </w:tc>
        <w:tc>
          <w:tcPr>
            <w:tcW w:type="dxa" w:w="9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Date</w:t>
            </w:r>
          </w:p>
        </w:tc>
        <w:tc>
          <w:tcPr>
            <w:tcW w:type="dxa" w:w="1200"/>
            <w:tcBorders>
              <w:top w:val="single" w:color="D0D7DE" w:sz="1"/>
              <w:left w:val="single" w:color="D0D7DE" w:sz="1"/>
              <w:bottom w:val="single" w:color="D0D7DE" w:sz="1"/>
              <w:right w:val="single" w:color="D0D7DE" w:sz="1"/>
            </w:tcBorders>
            <w:shd w:fill="F4F6F8" w:val="clear"/>
            <w:tcMar>
              <w:top w:type="dxa" w:w="80"/>
              <w:left w:type="dxa" w:w="80"/>
              <w:bottom w:type="dxa" w:w="80"/>
              <w:right w:type="dxa" w:w="80"/>
            </w:tcMar>
            <w:vAlign w:val="center"/>
          </w:tcPr>
          <w:p>
            <w:pPr>
              <w:jc w:val="center"/>
            </w:pPr>
            <w:r>
              <w:rPr>
                <w:rFonts w:ascii="Arial" w:cs="Arial" w:eastAsia="Arial" w:hAnsi="Arial"/>
                <w:b/>
                <w:bCs/>
                <w:color w:val="C0392B"/>
                <w:sz w:val="15"/>
                <w:szCs w:val="15"/>
              </w:rPr>
              <w:t xml:space="preserve">Required</w:t>
            </w:r>
          </w:p>
        </w:tc>
        <w:tc>
          <w:tcPr>
            <w:tcW w:type="dxa" w:w="20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Must match YYYY-MM-DD exactly</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Damage Location</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color w:val="4A5568"/>
                <w:sz w:val="16"/>
                <w:szCs w:val="16"/>
              </w:rPr>
              <w:t xml:space="preserve">Damage Location</w:t>
            </w:r>
          </w:p>
        </w:tc>
        <w:tc>
          <w:tcPr>
            <w:tcW w:type="dxa" w:w="9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FFFFF" w:val="clear"/>
            <w:tcMar>
              <w:top w:type="dxa" w:w="80"/>
              <w:left w:type="dxa" w:w="80"/>
              <w:bottom w:type="dxa" w:w="80"/>
              <w:right w:type="dxa" w:w="80"/>
            </w:tcMar>
            <w:vAlign w:val="center"/>
          </w:tcPr>
          <w:p>
            <w:pPr>
              <w:jc w:val="center"/>
            </w:pPr>
            <w:r>
              <w:rPr>
                <w:rFonts w:ascii="Arial" w:cs="Arial" w:eastAsia="Arial" w:hAnsi="Arial"/>
                <w:b/>
                <w:bCs/>
                <w:color w:val="C0392B"/>
                <w:sz w:val="15"/>
                <w:szCs w:val="15"/>
              </w:rPr>
              <w:t xml:space="preserve">Required</w:t>
            </w:r>
          </w:p>
        </w:tc>
        <w:tc>
          <w:tcPr>
            <w:tcW w:type="dxa" w:w="20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"Internal" or "External" (case-insensitive)</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Blade</w:t>
            </w:r>
          </w:p>
        </w:tc>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color w:val="4A5568"/>
                <w:sz w:val="16"/>
                <w:szCs w:val="16"/>
              </w:rPr>
              <w:t xml:space="preserve">Blade / Asset</w:t>
            </w:r>
          </w:p>
        </w:tc>
        <w:tc>
          <w:tcPr>
            <w:tcW w:type="dxa" w:w="9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4F6F8" w:val="clear"/>
            <w:tcMar>
              <w:top w:type="dxa" w:w="80"/>
              <w:left w:type="dxa" w:w="80"/>
              <w:bottom w:type="dxa" w:w="80"/>
              <w:right w:type="dxa" w:w="80"/>
            </w:tcMar>
            <w:vAlign w:val="center"/>
          </w:tcPr>
          <w:p>
            <w:pPr>
              <w:jc w:val="center"/>
            </w:pPr>
            <w:r>
              <w:rPr>
                <w:rFonts w:ascii="Arial" w:cs="Arial" w:eastAsia="Arial" w:hAnsi="Arial"/>
                <w:b/>
                <w:bCs/>
                <w:color w:val="C0392B"/>
                <w:sz w:val="15"/>
                <w:szCs w:val="15"/>
              </w:rPr>
              <w:t xml:space="preserve">Required</w:t>
            </w:r>
          </w:p>
        </w:tc>
        <w:tc>
          <w:tcPr>
            <w:tcW w:type="dxa" w:w="20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Single letter A, B, or C. Extracted from Asset if absent or full label ("Blade A" → "A")</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Component</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color w:val="4A5568"/>
                <w:sz w:val="16"/>
                <w:szCs w:val="16"/>
              </w:rPr>
              <w:t xml:space="preserve">Component</w:t>
            </w:r>
          </w:p>
        </w:tc>
        <w:tc>
          <w:tcPr>
            <w:tcW w:type="dxa" w:w="9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FFFFF" w:val="clear"/>
            <w:tcMar>
              <w:top w:type="dxa" w:w="80"/>
              <w:left w:type="dxa" w:w="80"/>
              <w:bottom w:type="dxa" w:w="80"/>
              <w:right w:type="dxa" w:w="80"/>
            </w:tcMar>
            <w:vAlign w:val="center"/>
          </w:tcPr>
          <w:p>
            <w:pPr>
              <w:jc w:val="center"/>
            </w:pPr>
            <w:r>
              <w:rPr>
                <w:rFonts w:ascii="Arial" w:cs="Arial" w:eastAsia="Arial" w:hAnsi="Arial"/>
                <w:b/>
                <w:bCs/>
                <w:color w:val="4A5568"/>
                <w:sz w:val="15"/>
                <w:szCs w:val="15"/>
              </w:rPr>
              <w:t xml:space="preserve">Raw</w:t>
            </w:r>
          </w:p>
        </w:tc>
        <w:tc>
          <w:tcPr>
            <w:tcW w:type="dxa" w:w="20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Any non-empty value; used in Input Component derivation</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Input Component (part 1)</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Material</w:t>
            </w:r>
          </w:p>
        </w:tc>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color w:val="4A5568"/>
                <w:sz w:val="16"/>
                <w:szCs w:val="16"/>
              </w:rPr>
              <w:t xml:space="preserve">Material</w:t>
            </w:r>
          </w:p>
        </w:tc>
        <w:tc>
          <w:tcPr>
            <w:tcW w:type="dxa" w:w="9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4F6F8" w:val="clear"/>
            <w:tcMar>
              <w:top w:type="dxa" w:w="80"/>
              <w:left w:type="dxa" w:w="80"/>
              <w:bottom w:type="dxa" w:w="80"/>
              <w:right w:type="dxa" w:w="80"/>
            </w:tcMar>
            <w:vAlign w:val="center"/>
          </w:tcPr>
          <w:p>
            <w:pPr>
              <w:jc w:val="center"/>
            </w:pPr>
            <w:r>
              <w:rPr>
                <w:rFonts w:ascii="Arial" w:cs="Arial" w:eastAsia="Arial" w:hAnsi="Arial"/>
                <w:b/>
                <w:bCs/>
                <w:color w:val="4A5568"/>
                <w:sz w:val="15"/>
                <w:szCs w:val="15"/>
              </w:rPr>
              <w:t xml:space="preserve">Raw</w:t>
            </w:r>
          </w:p>
        </w:tc>
        <w:tc>
          <w:tcPr>
            <w:tcW w:type="dxa" w:w="20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Optional; used as suffix in Component derivation if present</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Input Component (suffix — Format A)</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Element</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color w:val="4A5568"/>
                <w:sz w:val="16"/>
                <w:szCs w:val="16"/>
              </w:rPr>
              <w:t xml:space="preserve">Element</w:t>
            </w:r>
          </w:p>
        </w:tc>
        <w:tc>
          <w:tcPr>
            <w:tcW w:type="dxa" w:w="9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FFFFF" w:val="clear"/>
            <w:tcMar>
              <w:top w:type="dxa" w:w="80"/>
              <w:left w:type="dxa" w:w="80"/>
              <w:bottom w:type="dxa" w:w="80"/>
              <w:right w:type="dxa" w:w="80"/>
            </w:tcMar>
            <w:vAlign w:val="center"/>
          </w:tcPr>
          <w:p>
            <w:pPr>
              <w:jc w:val="center"/>
            </w:pPr>
            <w:r>
              <w:rPr>
                <w:rFonts w:ascii="Arial" w:cs="Arial" w:eastAsia="Arial" w:hAnsi="Arial"/>
                <w:b/>
                <w:bCs/>
                <w:color w:val="4A5568"/>
                <w:sz w:val="15"/>
                <w:szCs w:val="15"/>
              </w:rPr>
              <w:t xml:space="preserve">Raw</w:t>
            </w:r>
          </w:p>
        </w:tc>
        <w:tc>
          <w:tcPr>
            <w:tcW w:type="dxa" w:w="20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Optional; used as suffix in Component derivation if Material absent</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Input Component (suffix — Format B)</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Type</w:t>
            </w:r>
          </w:p>
        </w:tc>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color w:val="4A5568"/>
                <w:sz w:val="16"/>
                <w:szCs w:val="16"/>
              </w:rPr>
              <w:t xml:space="preserve">Type</w:t>
            </w:r>
          </w:p>
        </w:tc>
        <w:tc>
          <w:tcPr>
            <w:tcW w:type="dxa" w:w="9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4F6F8" w:val="clear"/>
            <w:tcMar>
              <w:top w:type="dxa" w:w="80"/>
              <w:left w:type="dxa" w:w="80"/>
              <w:bottom w:type="dxa" w:w="80"/>
              <w:right w:type="dxa" w:w="80"/>
            </w:tcMar>
            <w:vAlign w:val="center"/>
          </w:tcPr>
          <w:p>
            <w:pPr>
              <w:jc w:val="center"/>
            </w:pPr>
            <w:r>
              <w:rPr>
                <w:rFonts w:ascii="Arial" w:cs="Arial" w:eastAsia="Arial" w:hAnsi="Arial"/>
                <w:b/>
                <w:bCs/>
                <w:color w:val="4A5568"/>
                <w:sz w:val="15"/>
                <w:szCs w:val="15"/>
              </w:rPr>
              <w:t xml:space="preserve">Raw</w:t>
            </w:r>
          </w:p>
        </w:tc>
        <w:tc>
          <w:tcPr>
            <w:tcW w:type="dxa" w:w="20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Optional; used as base in Damage Type derivation if present</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Input Damage Type (base — Format A)</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Anomaly Type</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color w:val="4A5568"/>
                <w:sz w:val="16"/>
                <w:szCs w:val="16"/>
              </w:rPr>
              <w:t xml:space="preserve">Anomaly Type</w:t>
            </w:r>
          </w:p>
        </w:tc>
        <w:tc>
          <w:tcPr>
            <w:tcW w:type="dxa" w:w="9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FFFFF" w:val="clear"/>
            <w:tcMar>
              <w:top w:type="dxa" w:w="80"/>
              <w:left w:type="dxa" w:w="80"/>
              <w:bottom w:type="dxa" w:w="80"/>
              <w:right w:type="dxa" w:w="80"/>
            </w:tcMar>
            <w:vAlign w:val="center"/>
          </w:tcPr>
          <w:p>
            <w:pPr>
              <w:jc w:val="center"/>
            </w:pPr>
            <w:r>
              <w:rPr>
                <w:rFonts w:ascii="Arial" w:cs="Arial" w:eastAsia="Arial" w:hAnsi="Arial"/>
                <w:b/>
                <w:bCs/>
                <w:color w:val="4A5568"/>
                <w:sz w:val="15"/>
                <w:szCs w:val="15"/>
              </w:rPr>
              <w:t xml:space="preserve">Raw</w:t>
            </w:r>
          </w:p>
        </w:tc>
        <w:tc>
          <w:tcPr>
            <w:tcW w:type="dxa" w:w="20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Optional; used as base in Damage Type derivation if Type absent</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Input Damage Type (base — Format B)</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Subtype</w:t>
            </w:r>
          </w:p>
        </w:tc>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color w:val="4A5568"/>
                <w:sz w:val="16"/>
                <w:szCs w:val="16"/>
              </w:rPr>
              <w:t xml:space="preserve">Subtype</w:t>
            </w:r>
          </w:p>
        </w:tc>
        <w:tc>
          <w:tcPr>
            <w:tcW w:type="dxa" w:w="9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4F6F8" w:val="clear"/>
            <w:tcMar>
              <w:top w:type="dxa" w:w="80"/>
              <w:left w:type="dxa" w:w="80"/>
              <w:bottom w:type="dxa" w:w="80"/>
              <w:right w:type="dxa" w:w="80"/>
            </w:tcMar>
            <w:vAlign w:val="center"/>
          </w:tcPr>
          <w:p>
            <w:pPr>
              <w:jc w:val="center"/>
            </w:pPr>
            <w:r>
              <w:rPr>
                <w:rFonts w:ascii="Arial" w:cs="Arial" w:eastAsia="Arial" w:hAnsi="Arial"/>
                <w:b/>
                <w:bCs/>
                <w:color w:val="4A5568"/>
                <w:sz w:val="15"/>
                <w:szCs w:val="15"/>
              </w:rPr>
              <w:t xml:space="preserve">Raw</w:t>
            </w:r>
          </w:p>
        </w:tc>
        <w:tc>
          <w:tcPr>
            <w:tcW w:type="dxa" w:w="20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Optional; appended to Damage Type base if non-empty</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Input Damage Type (suffix)</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Blade Side</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color w:val="4A5568"/>
                <w:sz w:val="16"/>
                <w:szCs w:val="16"/>
              </w:rPr>
              <w:t xml:space="preserve">Blade Side</w:t>
            </w:r>
          </w:p>
        </w:tc>
        <w:tc>
          <w:tcPr>
            <w:tcW w:type="dxa" w:w="9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FFFFF" w:val="clear"/>
            <w:tcMar>
              <w:top w:type="dxa" w:w="80"/>
              <w:left w:type="dxa" w:w="80"/>
              <w:bottom w:type="dxa" w:w="80"/>
              <w:right w:type="dxa" w:w="80"/>
            </w:tcMar>
            <w:vAlign w:val="center"/>
          </w:tcPr>
          <w:p>
            <w:pPr>
              <w:jc w:val="center"/>
            </w:pPr>
            <w:r>
              <w:rPr>
                <w:rFonts w:ascii="Arial" w:cs="Arial" w:eastAsia="Arial" w:hAnsi="Arial"/>
                <w:b/>
                <w:bCs/>
                <w:color w:val="C0392B"/>
                <w:sz w:val="15"/>
                <w:szCs w:val="15"/>
              </w:rPr>
              <w:t xml:space="preserve">Required</w:t>
            </w:r>
          </w:p>
        </w:tc>
        <w:tc>
          <w:tcPr>
            <w:tcW w:type="dxa" w:w="20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LE / Leading Edge / TE / Trailing Edge / PS / Pressure Side / SS / Suction Side (case-insensitive)</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the organization Blade Side + the OEM Blade Side</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BladeChamber</w:t>
            </w:r>
          </w:p>
        </w:tc>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color w:val="4A5568"/>
                <w:sz w:val="16"/>
                <w:szCs w:val="16"/>
              </w:rPr>
              <w:t xml:space="preserve">Blade Chamber (alias)</w:t>
            </w:r>
          </w:p>
        </w:tc>
        <w:tc>
          <w:tcPr>
            <w:tcW w:type="dxa" w:w="9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4F6F8" w:val="clear"/>
            <w:tcMar>
              <w:top w:type="dxa" w:w="80"/>
              <w:left w:type="dxa" w:w="80"/>
              <w:bottom w:type="dxa" w:w="80"/>
              <w:right w:type="dxa" w:w="80"/>
            </w:tcMar>
            <w:vAlign w:val="center"/>
          </w:tcPr>
          <w:p>
            <w:pPr>
              <w:jc w:val="center"/>
            </w:pPr>
            <w:r>
              <w:rPr>
                <w:rFonts w:ascii="Arial" w:cs="Arial" w:eastAsia="Arial" w:hAnsi="Arial"/>
                <w:b/>
                <w:bCs/>
                <w:color w:val="F5A623"/>
                <w:sz w:val="15"/>
                <w:szCs w:val="15"/>
              </w:rPr>
              <w:t xml:space="preserve">Conditional</w:t>
            </w:r>
          </w:p>
        </w:tc>
        <w:tc>
          <w:tcPr>
            <w:tcW w:type="dxa" w:w="20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Any value; no format rule</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Distance (m)</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color w:val="4A5568"/>
                <w:sz w:val="16"/>
                <w:szCs w:val="16"/>
              </w:rPr>
              <w:t xml:space="preserve">Distance (m)</w:t>
            </w:r>
          </w:p>
        </w:tc>
        <w:tc>
          <w:tcPr>
            <w:tcW w:type="dxa" w:w="9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Decimal</w:t>
            </w:r>
          </w:p>
        </w:tc>
        <w:tc>
          <w:tcPr>
            <w:tcW w:type="dxa" w:w="1200"/>
            <w:tcBorders>
              <w:top w:val="single" w:color="D0D7DE" w:sz="1"/>
              <w:left w:val="single" w:color="D0D7DE" w:sz="1"/>
              <w:bottom w:val="single" w:color="D0D7DE" w:sz="1"/>
              <w:right w:val="single" w:color="D0D7DE" w:sz="1"/>
            </w:tcBorders>
            <w:shd w:fill="FFFFFF" w:val="clear"/>
            <w:tcMar>
              <w:top w:type="dxa" w:w="80"/>
              <w:left w:type="dxa" w:w="80"/>
              <w:bottom w:type="dxa" w:w="80"/>
              <w:right w:type="dxa" w:w="80"/>
            </w:tcMar>
            <w:vAlign w:val="center"/>
          </w:tcPr>
          <w:p>
            <w:pPr>
              <w:jc w:val="center"/>
            </w:pPr>
            <w:r>
              <w:rPr>
                <w:rFonts w:ascii="Arial" w:cs="Arial" w:eastAsia="Arial" w:hAnsi="Arial"/>
                <w:b/>
                <w:bCs/>
                <w:color w:val="C0392B"/>
                <w:sz w:val="15"/>
                <w:szCs w:val="15"/>
              </w:rPr>
              <w:t xml:space="preserve">Required</w:t>
            </w:r>
          </w:p>
        </w:tc>
        <w:tc>
          <w:tcPr>
            <w:tcW w:type="dxa" w:w="20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Numeric value; float noise cleaned to 4dp</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Length (m)</w:t>
            </w:r>
          </w:p>
        </w:tc>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color w:val="4A5568"/>
                <w:sz w:val="16"/>
                <w:szCs w:val="16"/>
              </w:rPr>
              <w:t xml:space="preserve">Length (m)</w:t>
            </w:r>
          </w:p>
        </w:tc>
        <w:tc>
          <w:tcPr>
            <w:tcW w:type="dxa" w:w="9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Decimal</w:t>
            </w:r>
          </w:p>
        </w:tc>
        <w:tc>
          <w:tcPr>
            <w:tcW w:type="dxa" w:w="1200"/>
            <w:tcBorders>
              <w:top w:val="single" w:color="D0D7DE" w:sz="1"/>
              <w:left w:val="single" w:color="D0D7DE" w:sz="1"/>
              <w:bottom w:val="single" w:color="D0D7DE" w:sz="1"/>
              <w:right w:val="single" w:color="D0D7DE" w:sz="1"/>
            </w:tcBorders>
            <w:shd w:fill="F4F6F8" w:val="clear"/>
            <w:tcMar>
              <w:top w:type="dxa" w:w="80"/>
              <w:left w:type="dxa" w:w="80"/>
              <w:bottom w:type="dxa" w:w="80"/>
              <w:right w:type="dxa" w:w="80"/>
            </w:tcMar>
            <w:vAlign w:val="center"/>
          </w:tcPr>
          <w:p>
            <w:pPr>
              <w:jc w:val="center"/>
            </w:pPr>
            <w:r>
              <w:rPr>
                <w:rFonts w:ascii="Arial" w:cs="Arial" w:eastAsia="Arial" w:hAnsi="Arial"/>
                <w:b/>
                <w:bCs/>
                <w:color w:val="C0392B"/>
                <w:sz w:val="15"/>
                <w:szCs w:val="15"/>
              </w:rPr>
              <w:t xml:space="preserve">Required</w:t>
            </w:r>
          </w:p>
        </w:tc>
        <w:tc>
          <w:tcPr>
            <w:tcW w:type="dxa" w:w="20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Numeric value; float noise cleaned to 4dp</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Width (m)</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color w:val="4A5568"/>
                <w:sz w:val="16"/>
                <w:szCs w:val="16"/>
              </w:rPr>
              <w:t xml:space="preserve">Width (m)</w:t>
            </w:r>
          </w:p>
        </w:tc>
        <w:tc>
          <w:tcPr>
            <w:tcW w:type="dxa" w:w="9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Decimal</w:t>
            </w:r>
          </w:p>
        </w:tc>
        <w:tc>
          <w:tcPr>
            <w:tcW w:type="dxa" w:w="1200"/>
            <w:tcBorders>
              <w:top w:val="single" w:color="D0D7DE" w:sz="1"/>
              <w:left w:val="single" w:color="D0D7DE" w:sz="1"/>
              <w:bottom w:val="single" w:color="D0D7DE" w:sz="1"/>
              <w:right w:val="single" w:color="D0D7DE" w:sz="1"/>
            </w:tcBorders>
            <w:shd w:fill="FFFFFF" w:val="clear"/>
            <w:tcMar>
              <w:top w:type="dxa" w:w="80"/>
              <w:left w:type="dxa" w:w="80"/>
              <w:bottom w:type="dxa" w:w="80"/>
              <w:right w:type="dxa" w:w="80"/>
            </w:tcMar>
            <w:vAlign w:val="center"/>
          </w:tcPr>
          <w:p>
            <w:pPr>
              <w:jc w:val="center"/>
            </w:pPr>
            <w:r>
              <w:rPr>
                <w:rFonts w:ascii="Arial" w:cs="Arial" w:eastAsia="Arial" w:hAnsi="Arial"/>
                <w:b/>
                <w:bCs/>
                <w:color w:val="C0392B"/>
                <w:sz w:val="15"/>
                <w:szCs w:val="15"/>
              </w:rPr>
              <w:t xml:space="preserve">Required</w:t>
            </w:r>
          </w:p>
        </w:tc>
        <w:tc>
          <w:tcPr>
            <w:tcW w:type="dxa" w:w="20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Numeric value; float noise cleaned to 4dp</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Chord(%)</w:t>
            </w:r>
          </w:p>
        </w:tc>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color w:val="4A5568"/>
                <w:sz w:val="16"/>
                <w:szCs w:val="16"/>
              </w:rPr>
              <w:t xml:space="preserve">Chord (%) (alias)</w:t>
            </w:r>
          </w:p>
        </w:tc>
        <w:tc>
          <w:tcPr>
            <w:tcW w:type="dxa" w:w="9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Decimal</w:t>
            </w:r>
          </w:p>
        </w:tc>
        <w:tc>
          <w:tcPr>
            <w:tcW w:type="dxa" w:w="1200"/>
            <w:tcBorders>
              <w:top w:val="single" w:color="D0D7DE" w:sz="1"/>
              <w:left w:val="single" w:color="D0D7DE" w:sz="1"/>
              <w:bottom w:val="single" w:color="D0D7DE" w:sz="1"/>
              <w:right w:val="single" w:color="D0D7DE" w:sz="1"/>
            </w:tcBorders>
            <w:shd w:fill="F4F6F8" w:val="clear"/>
            <w:tcMar>
              <w:top w:type="dxa" w:w="80"/>
              <w:left w:type="dxa" w:w="80"/>
              <w:bottom w:type="dxa" w:w="80"/>
              <w:right w:type="dxa" w:w="80"/>
            </w:tcMar>
            <w:vAlign w:val="center"/>
          </w:tcPr>
          <w:p>
            <w:pPr>
              <w:jc w:val="center"/>
            </w:pPr>
            <w:r>
              <w:rPr>
                <w:rFonts w:ascii="Arial" w:cs="Arial" w:eastAsia="Arial" w:hAnsi="Arial"/>
                <w:b/>
                <w:bCs/>
                <w:color w:val="F5A623"/>
                <w:sz w:val="15"/>
                <w:szCs w:val="15"/>
              </w:rPr>
              <w:t xml:space="preserve">Conditional</w:t>
            </w:r>
          </w:p>
        </w:tc>
        <w:tc>
          <w:tcPr>
            <w:tcW w:type="dxa" w:w="20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Numeric value if present; float noise cleaned to 4dp</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Coordinates</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color w:val="4A5568"/>
                <w:sz w:val="16"/>
                <w:szCs w:val="16"/>
              </w:rPr>
              <w:t xml:space="preserve">Coordinates</w:t>
            </w:r>
          </w:p>
        </w:tc>
        <w:tc>
          <w:tcPr>
            <w:tcW w:type="dxa" w:w="9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FFFFF" w:val="clear"/>
            <w:tcMar>
              <w:top w:type="dxa" w:w="80"/>
              <w:left w:type="dxa" w:w="80"/>
              <w:bottom w:type="dxa" w:w="80"/>
              <w:right w:type="dxa" w:w="80"/>
            </w:tcMar>
            <w:vAlign w:val="center"/>
          </w:tcPr>
          <w:p>
            <w:pPr>
              <w:jc w:val="center"/>
            </w:pPr>
            <w:r>
              <w:rPr>
                <w:rFonts w:ascii="Arial" w:cs="Arial" w:eastAsia="Arial" w:hAnsi="Arial"/>
                <w:b/>
                <w:bCs/>
                <w:color w:val="0891B2"/>
                <w:sz w:val="15"/>
                <w:szCs w:val="15"/>
              </w:rPr>
              <w:t xml:space="preserve">Check Internally</w:t>
            </w:r>
          </w:p>
        </w:tc>
        <w:tc>
          <w:tcPr>
            <w:tcW w:type="dxa" w:w="20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Must contain ≥3 [x,y] pairs; empty → Check Internally flag</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Source Image Reference</w:t>
            </w:r>
          </w:p>
        </w:tc>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color w:val="4A5568"/>
                <w:sz w:val="16"/>
                <w:szCs w:val="16"/>
              </w:rPr>
              <w:t xml:space="preserve">Source Image Reference</w:t>
            </w:r>
          </w:p>
        </w:tc>
        <w:tc>
          <w:tcPr>
            <w:tcW w:type="dxa" w:w="9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4F6F8" w:val="clear"/>
            <w:tcMar>
              <w:top w:type="dxa" w:w="80"/>
              <w:left w:type="dxa" w:w="80"/>
              <w:bottom w:type="dxa" w:w="80"/>
              <w:right w:type="dxa" w:w="80"/>
            </w:tcMar>
            <w:vAlign w:val="center"/>
          </w:tcPr>
          <w:p>
            <w:pPr>
              <w:jc w:val="center"/>
            </w:pPr>
            <w:r>
              <w:rPr>
                <w:rFonts w:ascii="Arial" w:cs="Arial" w:eastAsia="Arial" w:hAnsi="Arial"/>
                <w:b/>
                <w:bCs/>
                <w:color w:val="C0392B"/>
                <w:sz w:val="15"/>
                <w:szCs w:val="15"/>
              </w:rPr>
              <w:t xml:space="preserve">Required</w:t>
            </w:r>
          </w:p>
        </w:tc>
        <w:tc>
          <w:tcPr>
            <w:tcW w:type="dxa" w:w="20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Any non-empty value (UUID format expected)</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Source Images</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color w:val="4A5568"/>
                <w:sz w:val="16"/>
                <w:szCs w:val="16"/>
              </w:rPr>
              <w:t xml:space="preserve">Links / Source Images (alias)</w:t>
            </w:r>
          </w:p>
        </w:tc>
        <w:tc>
          <w:tcPr>
            <w:tcW w:type="dxa" w:w="9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FFFFF" w:val="clear"/>
            <w:tcMar>
              <w:top w:type="dxa" w:w="80"/>
              <w:left w:type="dxa" w:w="80"/>
              <w:bottom w:type="dxa" w:w="80"/>
              <w:right w:type="dxa" w:w="80"/>
            </w:tcMar>
            <w:vAlign w:val="center"/>
          </w:tcPr>
          <w:p>
            <w:pPr>
              <w:jc w:val="center"/>
            </w:pPr>
            <w:r>
              <w:rPr>
                <w:rFonts w:ascii="Arial" w:cs="Arial" w:eastAsia="Arial" w:hAnsi="Arial"/>
                <w:b/>
                <w:bCs/>
                <w:color w:val="C0392B"/>
                <w:sz w:val="15"/>
                <w:szCs w:val="15"/>
              </w:rPr>
              <w:t xml:space="preserve">Required</w:t>
            </w:r>
          </w:p>
        </w:tc>
        <w:tc>
          <w:tcPr>
            <w:tcW w:type="dxa" w:w="20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Any non-empty URL value</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Propagation Type</w:t>
            </w:r>
          </w:p>
        </w:tc>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color w:val="4A5568"/>
                <w:sz w:val="16"/>
                <w:szCs w:val="16"/>
              </w:rPr>
              <w:t xml:space="preserve">Propagation Type</w:t>
            </w:r>
          </w:p>
        </w:tc>
        <w:tc>
          <w:tcPr>
            <w:tcW w:type="dxa" w:w="9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4F6F8" w:val="clear"/>
            <w:tcMar>
              <w:top w:type="dxa" w:w="80"/>
              <w:left w:type="dxa" w:w="80"/>
              <w:bottom w:type="dxa" w:w="80"/>
              <w:right w:type="dxa" w:w="80"/>
            </w:tcMar>
            <w:vAlign w:val="center"/>
          </w:tcPr>
          <w:p>
            <w:pPr>
              <w:jc w:val="center"/>
            </w:pPr>
            <w:r>
              <w:rPr>
                <w:rFonts w:ascii="Arial" w:cs="Arial" w:eastAsia="Arial" w:hAnsi="Arial"/>
                <w:b/>
                <w:bCs/>
                <w:color w:val="F5A623"/>
                <w:sz w:val="15"/>
                <w:szCs w:val="15"/>
              </w:rPr>
              <w:t xml:space="preserve">Conditional</w:t>
            </w:r>
          </w:p>
        </w:tc>
        <w:tc>
          <w:tcPr>
            <w:tcW w:type="dxa" w:w="20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Any value; preserved in output unchanged</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OpSeverity</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color w:val="4A5568"/>
                <w:sz w:val="16"/>
                <w:szCs w:val="16"/>
              </w:rPr>
              <w:t xml:space="preserve">OpSeverity</w:t>
            </w:r>
          </w:p>
        </w:tc>
        <w:tc>
          <w:tcPr>
            <w:tcW w:type="dxa" w:w="9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FFFFF" w:val="clear"/>
            <w:tcMar>
              <w:top w:type="dxa" w:w="80"/>
              <w:left w:type="dxa" w:w="80"/>
              <w:bottom w:type="dxa" w:w="80"/>
              <w:right w:type="dxa" w:w="80"/>
            </w:tcMar>
            <w:vAlign w:val="center"/>
          </w:tcPr>
          <w:p>
            <w:pPr>
              <w:jc w:val="center"/>
            </w:pPr>
            <w:r>
              <w:rPr>
                <w:rFonts w:ascii="Arial" w:cs="Arial" w:eastAsia="Arial" w:hAnsi="Arial"/>
                <w:b/>
                <w:bCs/>
                <w:color w:val="F5A623"/>
                <w:sz w:val="15"/>
                <w:szCs w:val="15"/>
              </w:rPr>
              <w:t xml:space="preserve">Conditional</w:t>
            </w:r>
          </w:p>
        </w:tc>
        <w:tc>
          <w:tcPr>
            <w:tcW w:type="dxa" w:w="20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Any value; preserved in output unchanged</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Monitoring Recommendation</w:t>
            </w:r>
          </w:p>
        </w:tc>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color w:val="4A5568"/>
                <w:sz w:val="16"/>
                <w:szCs w:val="16"/>
              </w:rPr>
              <w:t xml:space="preserve">Monitoring Recommendation</w:t>
            </w:r>
          </w:p>
        </w:tc>
        <w:tc>
          <w:tcPr>
            <w:tcW w:type="dxa" w:w="9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4F6F8" w:val="clear"/>
            <w:tcMar>
              <w:top w:type="dxa" w:w="80"/>
              <w:left w:type="dxa" w:w="80"/>
              <w:bottom w:type="dxa" w:w="80"/>
              <w:right w:type="dxa" w:w="80"/>
            </w:tcMar>
            <w:vAlign w:val="center"/>
          </w:tcPr>
          <w:p>
            <w:pPr>
              <w:jc w:val="center"/>
            </w:pPr>
            <w:r>
              <w:rPr>
                <w:rFonts w:ascii="Arial" w:cs="Arial" w:eastAsia="Arial" w:hAnsi="Arial"/>
                <w:b/>
                <w:bCs/>
                <w:color w:val="F5A623"/>
                <w:sz w:val="15"/>
                <w:szCs w:val="15"/>
              </w:rPr>
              <w:t xml:space="preserve">Conditional</w:t>
            </w:r>
          </w:p>
        </w:tc>
        <w:tc>
          <w:tcPr>
            <w:tcW w:type="dxa" w:w="20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Any value; preserved in output unchanged</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Action</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color w:val="4A5568"/>
                <w:sz w:val="16"/>
                <w:szCs w:val="16"/>
              </w:rPr>
              <w:t xml:space="preserve">Action</w:t>
            </w:r>
          </w:p>
        </w:tc>
        <w:tc>
          <w:tcPr>
            <w:tcW w:type="dxa" w:w="9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FFFFF" w:val="clear"/>
            <w:tcMar>
              <w:top w:type="dxa" w:w="80"/>
              <w:left w:type="dxa" w:w="80"/>
              <w:bottom w:type="dxa" w:w="80"/>
              <w:right w:type="dxa" w:w="80"/>
            </w:tcMar>
            <w:vAlign w:val="center"/>
          </w:tcPr>
          <w:p>
            <w:pPr>
              <w:jc w:val="center"/>
            </w:pPr>
            <w:r>
              <w:rPr>
                <w:rFonts w:ascii="Arial" w:cs="Arial" w:eastAsia="Arial" w:hAnsi="Arial"/>
                <w:b/>
                <w:bCs/>
                <w:color w:val="F5A623"/>
                <w:sz w:val="15"/>
                <w:szCs w:val="15"/>
              </w:rPr>
              <w:t xml:space="preserve">Conditional</w:t>
            </w:r>
          </w:p>
        </w:tc>
        <w:tc>
          <w:tcPr>
            <w:tcW w:type="dxa" w:w="20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Any value; preserved in output unchanged</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Rule</w:t>
            </w:r>
          </w:p>
        </w:tc>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color w:val="4A5568"/>
                <w:sz w:val="16"/>
                <w:szCs w:val="16"/>
              </w:rPr>
              <w:t xml:space="preserve">Rule</w:t>
            </w:r>
          </w:p>
        </w:tc>
        <w:tc>
          <w:tcPr>
            <w:tcW w:type="dxa" w:w="9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4F6F8" w:val="clear"/>
            <w:tcMar>
              <w:top w:type="dxa" w:w="80"/>
              <w:left w:type="dxa" w:w="80"/>
              <w:bottom w:type="dxa" w:w="80"/>
              <w:right w:type="dxa" w:w="80"/>
            </w:tcMar>
            <w:vAlign w:val="center"/>
          </w:tcPr>
          <w:p>
            <w:pPr>
              <w:jc w:val="center"/>
            </w:pPr>
            <w:r>
              <w:rPr>
                <w:rFonts w:ascii="Arial" w:cs="Arial" w:eastAsia="Arial" w:hAnsi="Arial"/>
                <w:b/>
                <w:bCs/>
                <w:color w:val="F5A623"/>
                <w:sz w:val="15"/>
                <w:szCs w:val="15"/>
              </w:rPr>
              <w:t xml:space="preserve">Conditional</w:t>
            </w:r>
          </w:p>
        </w:tc>
        <w:tc>
          <w:tcPr>
            <w:tcW w:type="dxa" w:w="20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Any value; preserved in output unchanged</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Source Image Expiration Date</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color w:val="4A5568"/>
                <w:sz w:val="16"/>
                <w:szCs w:val="16"/>
              </w:rPr>
              <w:t xml:space="preserve">Source Image Expiration Date</w:t>
            </w:r>
          </w:p>
        </w:tc>
        <w:tc>
          <w:tcPr>
            <w:tcW w:type="dxa" w:w="9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Date</w:t>
            </w:r>
          </w:p>
        </w:tc>
        <w:tc>
          <w:tcPr>
            <w:tcW w:type="dxa" w:w="1200"/>
            <w:tcBorders>
              <w:top w:val="single" w:color="D0D7DE" w:sz="1"/>
              <w:left w:val="single" w:color="D0D7DE" w:sz="1"/>
              <w:bottom w:val="single" w:color="D0D7DE" w:sz="1"/>
              <w:right w:val="single" w:color="D0D7DE" w:sz="1"/>
            </w:tcBorders>
            <w:shd w:fill="FFFFFF" w:val="clear"/>
            <w:tcMar>
              <w:top w:type="dxa" w:w="80"/>
              <w:left w:type="dxa" w:w="80"/>
              <w:bottom w:type="dxa" w:w="80"/>
              <w:right w:type="dxa" w:w="80"/>
            </w:tcMar>
            <w:vAlign w:val="center"/>
          </w:tcPr>
          <w:p>
            <w:pPr>
              <w:jc w:val="center"/>
            </w:pPr>
            <w:r>
              <w:rPr>
                <w:rFonts w:ascii="Arial" w:cs="Arial" w:eastAsia="Arial" w:hAnsi="Arial"/>
                <w:b/>
                <w:bCs/>
                <w:color w:val="F5A623"/>
                <w:sz w:val="15"/>
                <w:szCs w:val="15"/>
              </w:rPr>
              <w:t xml:space="preserve">Conditional</w:t>
            </w:r>
          </w:p>
        </w:tc>
        <w:tc>
          <w:tcPr>
            <w:tcW w:type="dxa" w:w="20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Any value; not validated by tool</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Tasks</w:t>
            </w:r>
          </w:p>
        </w:tc>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color w:val="4A5568"/>
                <w:sz w:val="16"/>
                <w:szCs w:val="16"/>
              </w:rPr>
              <w:t xml:space="preserve">Tasks</w:t>
            </w:r>
          </w:p>
        </w:tc>
        <w:tc>
          <w:tcPr>
            <w:tcW w:type="dxa" w:w="9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4F6F8" w:val="clear"/>
            <w:tcMar>
              <w:top w:type="dxa" w:w="80"/>
              <w:left w:type="dxa" w:w="80"/>
              <w:bottom w:type="dxa" w:w="80"/>
              <w:right w:type="dxa" w:w="80"/>
            </w:tcMar>
            <w:vAlign w:val="center"/>
          </w:tcPr>
          <w:p>
            <w:pPr>
              <w:jc w:val="center"/>
            </w:pPr>
            <w:r>
              <w:rPr>
                <w:rFonts w:ascii="Arial" w:cs="Arial" w:eastAsia="Arial" w:hAnsi="Arial"/>
                <w:b/>
                <w:bCs/>
                <w:color w:val="F5A623"/>
                <w:sz w:val="15"/>
                <w:szCs w:val="15"/>
              </w:rPr>
              <w:t xml:space="preserve">Conditional</w:t>
            </w:r>
          </w:p>
        </w:tc>
        <w:tc>
          <w:tcPr>
            <w:tcW w:type="dxa" w:w="20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Any value; preserved in output unchanged</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Recommendation</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color w:val="4A5568"/>
                <w:sz w:val="16"/>
                <w:szCs w:val="16"/>
              </w:rPr>
              <w:t xml:space="preserve">Recommendation</w:t>
            </w:r>
          </w:p>
        </w:tc>
        <w:tc>
          <w:tcPr>
            <w:tcW w:type="dxa" w:w="9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FFFFF" w:val="clear"/>
            <w:tcMar>
              <w:top w:type="dxa" w:w="80"/>
              <w:left w:type="dxa" w:w="80"/>
              <w:bottom w:type="dxa" w:w="80"/>
              <w:right w:type="dxa" w:w="80"/>
            </w:tcMar>
            <w:vAlign w:val="center"/>
          </w:tcPr>
          <w:p>
            <w:pPr>
              <w:jc w:val="center"/>
            </w:pPr>
            <w:r>
              <w:rPr>
                <w:rFonts w:ascii="Arial" w:cs="Arial" w:eastAsia="Arial" w:hAnsi="Arial"/>
                <w:b/>
                <w:bCs/>
                <w:color w:val="F5A623"/>
                <w:sz w:val="15"/>
                <w:szCs w:val="15"/>
              </w:rPr>
              <w:t xml:space="preserve">Conditional</w:t>
            </w:r>
          </w:p>
        </w:tc>
        <w:tc>
          <w:tcPr>
            <w:tcW w:type="dxa" w:w="20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Any value; no format rule</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D0D7DE"/>
                <w:sz w:val="17"/>
                <w:szCs w:val="17"/>
              </w:rPr>
              <w:t xml:space="preserve">-</w:t>
            </w:r>
          </w:p>
        </w:tc>
      </w:tr>
      <w:tr>
        <w:tc>
          <w:tcPr>
            <w:tcW w:type="dxa" w:w="9360"/>
            <w:gridSpan w:val="6"/>
            <w:tcBorders>
              <w:top w:val="single" w:color="00A97F" w:sz="1"/>
              <w:left w:val="single" w:color="00A97F" w:sz="1"/>
              <w:bottom w:val="single" w:color="00A97F" w:sz="1"/>
              <w:right w:val="single" w:color="00A97F" w:sz="1"/>
            </w:tcBorders>
            <w:shd w:fill="E8F4F1" w:val="clear"/>
            <w:tcMar>
              <w:top w:type="dxa" w:w="80"/>
              <w:left w:type="dxa" w:w="120"/>
              <w:bottom w:type="dxa" w:w="80"/>
              <w:right w:type="dxa" w:w="120"/>
            </w:tcMar>
          </w:tcPr>
          <w:p>
            <w:r>
              <w:rPr>
                <w:rFonts w:ascii="Arial" w:cs="Arial" w:eastAsia="Arial" w:hAnsi="Arial"/>
                <w:b/>
                <w:bCs/>
                <w:color w:val="00A97F"/>
                <w:sz w:val="17"/>
                <w:szCs w:val="17"/>
              </w:rPr>
              <w:t xml:space="preserve">DERIVED FIELDS — computed by the tool; written as VLOOKUP formulas in the output XLSX</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Input Component</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color w:val="4A5568"/>
                <w:sz w:val="16"/>
                <w:szCs w:val="16"/>
              </w:rPr>
              <w:t xml:space="preserve">Component + Material or Component + Element</w:t>
            </w:r>
          </w:p>
        </w:tc>
        <w:tc>
          <w:tcPr>
            <w:tcW w:type="dxa" w:w="9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FFFFF" w:val="clear"/>
            <w:tcMar>
              <w:top w:type="dxa" w:w="80"/>
              <w:left w:type="dxa" w:w="80"/>
              <w:bottom w:type="dxa" w:w="80"/>
              <w:right w:type="dxa" w:w="80"/>
            </w:tcMar>
            <w:vAlign w:val="center"/>
          </w:tcPr>
          <w:p>
            <w:pPr>
              <w:jc w:val="center"/>
            </w:pPr>
            <w:r>
              <w:rPr>
                <w:rFonts w:ascii="Arial" w:cs="Arial" w:eastAsia="Arial" w:hAnsi="Arial"/>
                <w:b/>
                <w:bCs/>
                <w:color w:val="27AE60"/>
                <w:sz w:val="15"/>
                <w:szCs w:val="15"/>
              </w:rPr>
              <w:t xml:space="preserve">Derived</w:t>
            </w:r>
          </w:p>
        </w:tc>
        <w:tc>
          <w:tcPr>
            <w:tcW w:type="dxa" w:w="20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IF(LEN(Material)&gt;0, Component &amp; " - " &amp; Material, IF(LEN(Element)&gt;0, Component &amp; " - " &amp; Element, Component))</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the organization Element + the OEM Element</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the organization Element</w:t>
            </w:r>
          </w:p>
        </w:tc>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color w:val="4A5568"/>
                <w:sz w:val="16"/>
                <w:szCs w:val="16"/>
              </w:rPr>
              <w:t xml:space="preserve">Input Component (lookup)</w:t>
            </w:r>
          </w:p>
        </w:tc>
        <w:tc>
          <w:tcPr>
            <w:tcW w:type="dxa" w:w="9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4F6F8" w:val="clear"/>
            <w:tcMar>
              <w:top w:type="dxa" w:w="80"/>
              <w:left w:type="dxa" w:w="80"/>
              <w:bottom w:type="dxa" w:w="80"/>
              <w:right w:type="dxa" w:w="80"/>
            </w:tcMar>
            <w:vAlign w:val="center"/>
          </w:tcPr>
          <w:p>
            <w:pPr>
              <w:jc w:val="center"/>
            </w:pPr>
            <w:r>
              <w:rPr>
                <w:rFonts w:ascii="Arial" w:cs="Arial" w:eastAsia="Arial" w:hAnsi="Arial"/>
                <w:b/>
                <w:bCs/>
                <w:color w:val="27AE60"/>
                <w:sz w:val="15"/>
                <w:szCs w:val="15"/>
              </w:rPr>
              <w:t xml:space="preserve">Derived</w:t>
            </w:r>
          </w:p>
        </w:tc>
        <w:tc>
          <w:tcPr>
            <w:tcW w:type="dxa" w:w="20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IFERROR(VLOOKUP(Input Component, Conversions!A:C, 2, FALSE), "MANUAL REVIEW: " &amp; value)</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Output column in XLSX</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the OEM Element</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color w:val="4A5568"/>
                <w:sz w:val="16"/>
                <w:szCs w:val="16"/>
              </w:rPr>
              <w:t xml:space="preserve">Input Component (lookup)</w:t>
            </w:r>
          </w:p>
        </w:tc>
        <w:tc>
          <w:tcPr>
            <w:tcW w:type="dxa" w:w="9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FFFFF" w:val="clear"/>
            <w:tcMar>
              <w:top w:type="dxa" w:w="80"/>
              <w:left w:type="dxa" w:w="80"/>
              <w:bottom w:type="dxa" w:w="80"/>
              <w:right w:type="dxa" w:w="80"/>
            </w:tcMar>
            <w:vAlign w:val="center"/>
          </w:tcPr>
          <w:p>
            <w:pPr>
              <w:jc w:val="center"/>
            </w:pPr>
            <w:r>
              <w:rPr>
                <w:rFonts w:ascii="Arial" w:cs="Arial" w:eastAsia="Arial" w:hAnsi="Arial"/>
                <w:b/>
                <w:bCs/>
                <w:color w:val="27AE60"/>
                <w:sz w:val="15"/>
                <w:szCs w:val="15"/>
              </w:rPr>
              <w:t xml:space="preserve">Derived</w:t>
            </w:r>
          </w:p>
        </w:tc>
        <w:tc>
          <w:tcPr>
            <w:tcW w:type="dxa" w:w="20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IFERROR(VLOOKUP(Input Component, Conversions!A:C, 3, FALSE), "MANUAL REVIEW: " &amp; value)</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Output column in XLSX</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Input Damage Type</w:t>
            </w:r>
          </w:p>
        </w:tc>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color w:val="4A5568"/>
                <w:sz w:val="16"/>
                <w:szCs w:val="16"/>
              </w:rPr>
              <w:t xml:space="preserve">Type/Anomaly Type + Subtype</w:t>
            </w:r>
          </w:p>
        </w:tc>
        <w:tc>
          <w:tcPr>
            <w:tcW w:type="dxa" w:w="9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4F6F8" w:val="clear"/>
            <w:tcMar>
              <w:top w:type="dxa" w:w="80"/>
              <w:left w:type="dxa" w:w="80"/>
              <w:bottom w:type="dxa" w:w="80"/>
              <w:right w:type="dxa" w:w="80"/>
            </w:tcMar>
            <w:vAlign w:val="center"/>
          </w:tcPr>
          <w:p>
            <w:pPr>
              <w:jc w:val="center"/>
            </w:pPr>
            <w:r>
              <w:rPr>
                <w:rFonts w:ascii="Arial" w:cs="Arial" w:eastAsia="Arial" w:hAnsi="Arial"/>
                <w:b/>
                <w:bCs/>
                <w:color w:val="27AE60"/>
                <w:sz w:val="15"/>
                <w:szCs w:val="15"/>
              </w:rPr>
              <w:t xml:space="preserve">Derived</w:t>
            </w:r>
          </w:p>
        </w:tc>
        <w:tc>
          <w:tcPr>
            <w:tcW w:type="dxa" w:w="20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IF(LEN(Subtype)&gt;0, base &amp; " - " &amp; Subtype, base)</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the organization Anomaly Type + the OEM Anomaly Type</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the organization Anomaly Type</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color w:val="4A5568"/>
                <w:sz w:val="16"/>
                <w:szCs w:val="16"/>
              </w:rPr>
              <w:t xml:space="preserve">Input Damage Type (lookup)</w:t>
            </w:r>
          </w:p>
        </w:tc>
        <w:tc>
          <w:tcPr>
            <w:tcW w:type="dxa" w:w="9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FFFFF" w:val="clear"/>
            <w:tcMar>
              <w:top w:type="dxa" w:w="80"/>
              <w:left w:type="dxa" w:w="80"/>
              <w:bottom w:type="dxa" w:w="80"/>
              <w:right w:type="dxa" w:w="80"/>
            </w:tcMar>
            <w:vAlign w:val="center"/>
          </w:tcPr>
          <w:p>
            <w:pPr>
              <w:jc w:val="center"/>
            </w:pPr>
            <w:r>
              <w:rPr>
                <w:rFonts w:ascii="Arial" w:cs="Arial" w:eastAsia="Arial" w:hAnsi="Arial"/>
                <w:b/>
                <w:bCs/>
                <w:color w:val="27AE60"/>
                <w:sz w:val="15"/>
                <w:szCs w:val="15"/>
              </w:rPr>
              <w:t xml:space="preserve">Derived</w:t>
            </w:r>
          </w:p>
        </w:tc>
        <w:tc>
          <w:tcPr>
            <w:tcW w:type="dxa" w:w="20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IFERROR(VLOOKUP(Input Damage Type, Conversions!A:C, 2, FALSE), "MANUAL REVIEW: " &amp; value)</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Output column in XLSX</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the OEM Anomaly Type</w:t>
            </w:r>
          </w:p>
        </w:tc>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color w:val="4A5568"/>
                <w:sz w:val="16"/>
                <w:szCs w:val="16"/>
              </w:rPr>
              <w:t xml:space="preserve">Input Damage Type (lookup)</w:t>
            </w:r>
          </w:p>
        </w:tc>
        <w:tc>
          <w:tcPr>
            <w:tcW w:type="dxa" w:w="9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4F6F8" w:val="clear"/>
            <w:tcMar>
              <w:top w:type="dxa" w:w="80"/>
              <w:left w:type="dxa" w:w="80"/>
              <w:bottom w:type="dxa" w:w="80"/>
              <w:right w:type="dxa" w:w="80"/>
            </w:tcMar>
            <w:vAlign w:val="center"/>
          </w:tcPr>
          <w:p>
            <w:pPr>
              <w:jc w:val="center"/>
            </w:pPr>
            <w:r>
              <w:rPr>
                <w:rFonts w:ascii="Arial" w:cs="Arial" w:eastAsia="Arial" w:hAnsi="Arial"/>
                <w:b/>
                <w:bCs/>
                <w:color w:val="27AE60"/>
                <w:sz w:val="15"/>
                <w:szCs w:val="15"/>
              </w:rPr>
              <w:t xml:space="preserve">Derived</w:t>
            </w:r>
          </w:p>
        </w:tc>
        <w:tc>
          <w:tcPr>
            <w:tcW w:type="dxa" w:w="20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IFERROR(VLOOKUP(Input Damage Type, Conversions!A:C, 3, FALSE), "MANUAL REVIEW: " &amp; value)</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Output column in XLSX</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the organization Blade Side</w:t>
            </w:r>
          </w:p>
        </w:tc>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color w:val="4A5568"/>
                <w:sz w:val="16"/>
                <w:szCs w:val="16"/>
              </w:rPr>
              <w:t xml:space="preserve">Blade Side (lookup)</w:t>
            </w:r>
          </w:p>
        </w:tc>
        <w:tc>
          <w:tcPr>
            <w:tcW w:type="dxa" w:w="9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FFFFF" w:val="clear"/>
            <w:tcMar>
              <w:top w:type="dxa" w:w="80"/>
              <w:left w:type="dxa" w:w="80"/>
              <w:bottom w:type="dxa" w:w="80"/>
              <w:right w:type="dxa" w:w="80"/>
            </w:tcMar>
            <w:vAlign w:val="center"/>
          </w:tcPr>
          <w:p>
            <w:pPr>
              <w:jc w:val="center"/>
            </w:pPr>
            <w:r>
              <w:rPr>
                <w:rFonts w:ascii="Arial" w:cs="Arial" w:eastAsia="Arial" w:hAnsi="Arial"/>
                <w:b/>
                <w:bCs/>
                <w:color w:val="27AE60"/>
                <w:sz w:val="15"/>
                <w:szCs w:val="15"/>
              </w:rPr>
              <w:t xml:space="preserve">Derived</w:t>
            </w:r>
          </w:p>
        </w:tc>
        <w:tc>
          <w:tcPr>
            <w:tcW w:type="dxa" w:w="20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IFERROR(VLOOKUP(Blade Side, Conversions!A:C, 2, FALSE), "MANUAL REVIEW: " &amp; value)</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1A1A1A"/>
                <w:sz w:val="17"/>
                <w:szCs w:val="17"/>
              </w:rPr>
              <w:t xml:space="preserve">Output column in XLSX</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b/>
                <w:bCs/>
                <w:color w:val="0D3349"/>
                <w:sz w:val="17"/>
                <w:szCs w:val="17"/>
              </w:rPr>
              <w:t xml:space="preserve">the OEM Blade Side</w:t>
            </w:r>
          </w:p>
        </w:tc>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color w:val="4A5568"/>
                <w:sz w:val="16"/>
                <w:szCs w:val="16"/>
              </w:rPr>
              <w:t xml:space="preserve">Blade Side (lookup)</w:t>
            </w:r>
          </w:p>
        </w:tc>
        <w:tc>
          <w:tcPr>
            <w:tcW w:type="dxa" w:w="9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String</w:t>
            </w:r>
          </w:p>
        </w:tc>
        <w:tc>
          <w:tcPr>
            <w:tcW w:type="dxa" w:w="1200"/>
            <w:tcBorders>
              <w:top w:val="single" w:color="D0D7DE" w:sz="1"/>
              <w:left w:val="single" w:color="D0D7DE" w:sz="1"/>
              <w:bottom w:val="single" w:color="D0D7DE" w:sz="1"/>
              <w:right w:val="single" w:color="D0D7DE" w:sz="1"/>
            </w:tcBorders>
            <w:shd w:fill="F4F6F8" w:val="clear"/>
            <w:tcMar>
              <w:top w:type="dxa" w:w="80"/>
              <w:left w:type="dxa" w:w="80"/>
              <w:bottom w:type="dxa" w:w="80"/>
              <w:right w:type="dxa" w:w="80"/>
            </w:tcMar>
            <w:vAlign w:val="center"/>
          </w:tcPr>
          <w:p>
            <w:pPr>
              <w:jc w:val="center"/>
            </w:pPr>
            <w:r>
              <w:rPr>
                <w:rFonts w:ascii="Arial" w:cs="Arial" w:eastAsia="Arial" w:hAnsi="Arial"/>
                <w:b/>
                <w:bCs/>
                <w:color w:val="27AE60"/>
                <w:sz w:val="15"/>
                <w:szCs w:val="15"/>
              </w:rPr>
              <w:t xml:space="preserve">Derived</w:t>
            </w:r>
          </w:p>
        </w:tc>
        <w:tc>
          <w:tcPr>
            <w:tcW w:type="dxa" w:w="20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IFERROR(VLOOKUP(Blade Side, Conversions!A:C, 3, FALSE), "MANUAL REVIEW: " &amp; value)</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1A1A1A"/>
                <w:sz w:val="17"/>
                <w:szCs w:val="17"/>
              </w:rPr>
              <w:t xml:space="preserve">Output column in XLSX</w:t>
            </w:r>
          </w:p>
        </w:tc>
      </w:tr>
    </w:tbl>
    <w:p>
      <w:pPr>
        <w:spacing w:after="0" w:before="0"/>
      </w:pPr>
      <w:r>
        <w:t xml:space="preserve"/>
      </w:r>
    </w:p>
    <w:p>
      <w:r>
        <w:br w:type="page"/>
      </w:r>
    </w:p>
    <w:p>
      <w:pPr>
        <w:pStyle w:val="Heading2"/>
        <w:pBdr>
          <w:bottom w:val="single" w:color="00A97F" w:sz="4" w:space="4"/>
        </w:pBdr>
        <w:spacing w:after="80" w:before="320"/>
      </w:pPr>
      <w:r>
        <w:rPr>
          <w:rFonts w:ascii="Arial" w:cs="Arial" w:eastAsia="Arial" w:hAnsi="Arial"/>
          <w:b/>
          <w:bCs/>
          <w:color w:val="1B5E8A"/>
          <w:sz w:val="26"/>
          <w:szCs w:val="26"/>
        </w:rPr>
        <w:t xml:space="preserve">Dataset Format Variations</w:t>
      </w:r>
    </w:p>
    <w:p>
      <w:pPr>
        <w:spacing w:after="60" w:before="60"/>
      </w:pPr>
      <w:r>
        <w:rPr>
          <w:rFonts w:ascii="Arial" w:cs="Arial" w:eastAsia="Arial" w:hAnsi="Arial"/>
          <w:color w:val="1A1A1A"/>
          <w:sz w:val="20"/>
          <w:szCs w:val="20"/>
        </w:rPr>
        <w:t xml:space="preserve">Two distinct the source inspection platform export formats have been identified. The tool detects the format automatically based on column presence.</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2400"/>
        <w:gridCol w:w="2400"/>
        <w:gridCol w:w="2960"/>
      </w:tblGrid>
      <w:tr>
        <w:trPr>
          <w:tblHeader/>
        </w:trPr>
        <w:tc>
          <w:tcPr>
            <w:tcW w:type="dxa" w:w="16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Field</w:t>
            </w:r>
          </w:p>
        </w:tc>
        <w:tc>
          <w:tcPr>
            <w:tcW w:type="dxa" w:w="24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Format A</w:t>
            </w:r>
          </w:p>
        </w:tc>
        <w:tc>
          <w:tcPr>
            <w:tcW w:type="dxa" w:w="24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Format B</w:t>
            </w:r>
          </w:p>
        </w:tc>
        <w:tc>
          <w:tcPr>
            <w:tcW w:type="dxa" w:w="296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Detection Logic</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7"/>
                <w:szCs w:val="17"/>
              </w:rPr>
              <w:t xml:space="preserve">Known datasets</w:t>
            </w:r>
          </w:p>
        </w:tc>
        <w:tc>
          <w:tcPr>
            <w:tcW w:type="dxa" w:w="2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4A5568"/>
                <w:sz w:val="17"/>
                <w:szCs w:val="17"/>
              </w:rPr>
              <w:t xml:space="preserve">Dataset A</w:t>
            </w:r>
          </w:p>
        </w:tc>
        <w:tc>
          <w:tcPr>
            <w:tcW w:type="dxa" w:w="2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4A5568"/>
                <w:sz w:val="17"/>
                <w:szCs w:val="17"/>
              </w:rPr>
              <w:t xml:space="preserve">Dataset B</w:t>
            </w:r>
          </w:p>
        </w:tc>
        <w:tc>
          <w:tcPr>
            <w:tcW w:type="dxa" w:w="29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b w:val="false"/>
                <w:bCs w:val="false"/>
                <w:color w:val="4A5568"/>
                <w:sz w:val="15"/>
                <w:szCs w:val="15"/>
              </w:rPr>
              <w:t xml:space="preserve">N/A</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7"/>
                <w:szCs w:val="17"/>
              </w:rPr>
              <w:t xml:space="preserve">Element source</w:t>
            </w:r>
          </w:p>
        </w:tc>
        <w:tc>
          <w:tcPr>
            <w:tcW w:type="dxa" w:w="24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4A5568"/>
                <w:sz w:val="17"/>
                <w:szCs w:val="17"/>
              </w:rPr>
              <w:t xml:space="preserve">Component + Material</w:t>
            </w:r>
          </w:p>
        </w:tc>
        <w:tc>
          <w:tcPr>
            <w:tcW w:type="dxa" w:w="24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4A5568"/>
                <w:sz w:val="17"/>
                <w:szCs w:val="17"/>
              </w:rPr>
              <w:t xml:space="preserve">Component + Element</w:t>
            </w:r>
          </w:p>
        </w:tc>
        <w:tc>
          <w:tcPr>
            <w:tcW w:type="dxa" w:w="29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b w:val="false"/>
                <w:bCs w:val="false"/>
                <w:color w:val="4A5568"/>
                <w:sz w:val="15"/>
                <w:szCs w:val="15"/>
              </w:rPr>
              <w:t xml:space="preserve">Check if Material column exists</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7"/>
                <w:szCs w:val="17"/>
              </w:rPr>
              <w:t xml:space="preserve">Element formula</w:t>
            </w:r>
          </w:p>
        </w:tc>
        <w:tc>
          <w:tcPr>
            <w:tcW w:type="dxa" w:w="2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4A5568"/>
                <w:sz w:val="17"/>
                <w:szCs w:val="17"/>
              </w:rPr>
              <w:t xml:space="preserve">Component &amp; " - " &amp; Material</w:t>
            </w:r>
          </w:p>
        </w:tc>
        <w:tc>
          <w:tcPr>
            <w:tcW w:type="dxa" w:w="2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4A5568"/>
                <w:sz w:val="17"/>
                <w:szCs w:val="17"/>
              </w:rPr>
              <w:t xml:space="preserve">Component &amp; " - " &amp; Element</w:t>
            </w:r>
          </w:p>
        </w:tc>
        <w:tc>
          <w:tcPr>
            <w:tcW w:type="dxa" w:w="29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b w:val="false"/>
                <w:bCs w:val="false"/>
                <w:color w:val="4A5568"/>
                <w:sz w:val="15"/>
                <w:szCs w:val="15"/>
              </w:rPr>
              <w:t xml:space="preserve">LEN(Material)&gt;0 → use Material; else use Element</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7"/>
                <w:szCs w:val="17"/>
              </w:rPr>
              <w:t xml:space="preserve">Damage Type source</w:t>
            </w:r>
          </w:p>
        </w:tc>
        <w:tc>
          <w:tcPr>
            <w:tcW w:type="dxa" w:w="24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4A5568"/>
                <w:sz w:val="17"/>
                <w:szCs w:val="17"/>
              </w:rPr>
              <w:t xml:space="preserve">Type + Subtype</w:t>
            </w:r>
          </w:p>
        </w:tc>
        <w:tc>
          <w:tcPr>
            <w:tcW w:type="dxa" w:w="24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4A5568"/>
                <w:sz w:val="17"/>
                <w:szCs w:val="17"/>
              </w:rPr>
              <w:t xml:space="preserve">Anomaly Type + Subtype</w:t>
            </w:r>
          </w:p>
        </w:tc>
        <w:tc>
          <w:tcPr>
            <w:tcW w:type="dxa" w:w="29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b w:val="false"/>
                <w:bCs w:val="false"/>
                <w:color w:val="4A5568"/>
                <w:sz w:val="15"/>
                <w:szCs w:val="15"/>
              </w:rPr>
              <w:t xml:space="preserve">Check if Type column exists</w:t>
            </w:r>
          </w:p>
        </w:tc>
      </w:tr>
      <w:tr>
        <w:tc>
          <w:tcPr>
            <w:tcW w:type="dxa" w:w="1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7"/>
                <w:szCs w:val="17"/>
              </w:rPr>
              <w:t xml:space="preserve">Damage Type formula</w:t>
            </w:r>
          </w:p>
        </w:tc>
        <w:tc>
          <w:tcPr>
            <w:tcW w:type="dxa" w:w="2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4A5568"/>
                <w:sz w:val="17"/>
                <w:szCs w:val="17"/>
              </w:rPr>
              <w:t xml:space="preserve">Type &amp; " - " &amp; Subtype</w:t>
            </w:r>
          </w:p>
        </w:tc>
        <w:tc>
          <w:tcPr>
            <w:tcW w:type="dxa" w:w="2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4A5568"/>
                <w:sz w:val="17"/>
                <w:szCs w:val="17"/>
              </w:rPr>
              <w:t xml:space="preserve">Anomaly Type &amp; " - " &amp; Subtype</w:t>
            </w:r>
          </w:p>
        </w:tc>
        <w:tc>
          <w:tcPr>
            <w:tcW w:type="dxa" w:w="29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Courier New" w:cs="Courier New" w:eastAsia="Courier New" w:hAnsi="Courier New"/>
                <w:b w:val="false"/>
                <w:bCs w:val="false"/>
                <w:color w:val="4A5568"/>
                <w:sz w:val="15"/>
                <w:szCs w:val="15"/>
              </w:rPr>
              <w:t xml:space="preserve">LEN(Type column)&gt;0 → use Type; else use Anomaly Type</w:t>
            </w:r>
          </w:p>
        </w:tc>
      </w:tr>
      <w:tr>
        <w:tc>
          <w:tcPr>
            <w:tcW w:type="dxa" w:w="1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7"/>
                <w:szCs w:val="17"/>
              </w:rPr>
              <w:t xml:space="preserve">Blade field</w:t>
            </w:r>
          </w:p>
        </w:tc>
        <w:tc>
          <w:tcPr>
            <w:tcW w:type="dxa" w:w="24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4A5568"/>
                <w:sz w:val="17"/>
                <w:szCs w:val="17"/>
              </w:rPr>
              <w:t xml:space="preserve">Empty — extracted from Asset</w:t>
            </w:r>
          </w:p>
        </w:tc>
        <w:tc>
          <w:tcPr>
            <w:tcW w:type="dxa" w:w="24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4A5568"/>
                <w:sz w:val="17"/>
                <w:szCs w:val="17"/>
              </w:rPr>
              <w:t xml:space="preserve">"Blade A" — letter extracted</w:t>
            </w:r>
          </w:p>
        </w:tc>
        <w:tc>
          <w:tcPr>
            <w:tcW w:type="dxa" w:w="29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Courier New" w:cs="Courier New" w:eastAsia="Courier New" w:hAnsi="Courier New"/>
                <w:b w:val="false"/>
                <w:bCs w:val="false"/>
                <w:color w:val="4A5568"/>
                <w:sz w:val="15"/>
                <w:szCs w:val="15"/>
              </w:rPr>
              <w:t xml:space="preserve">Regex match on /Blade\s+([A-C])/i</w:t>
            </w:r>
          </w:p>
        </w:tc>
      </w:tr>
    </w:tbl>
    <w:p>
      <w:pPr>
        <w:spacing w:after="0" w:before="0"/>
      </w:pPr>
      <w:r>
        <w:t xml:space="preserve"/>
      </w:r>
    </w:p>
    <w:p>
      <w:r>
        <w:br w:type="page"/>
      </w:r>
    </w:p>
    <w:p>
      <w:pPr>
        <w:pStyle w:val="Heading2"/>
        <w:pBdr>
          <w:bottom w:val="single" w:color="00A97F" w:sz="4" w:space="4"/>
        </w:pBdr>
        <w:spacing w:after="80" w:before="320"/>
      </w:pPr>
      <w:r>
        <w:rPr>
          <w:rFonts w:ascii="Arial" w:cs="Arial" w:eastAsia="Arial" w:hAnsi="Arial"/>
          <w:b/>
          <w:bCs/>
          <w:color w:val="1B5E8A"/>
          <w:sz w:val="26"/>
          <w:szCs w:val="26"/>
        </w:rPr>
        <w:t xml:space="preserve">Conversion Lookup Tables</w:t>
      </w:r>
    </w:p>
    <w:p>
      <w:pPr>
        <w:spacing w:after="60" w:before="60"/>
      </w:pPr>
      <w:r>
        <w:rPr>
          <w:rFonts w:ascii="Arial" w:cs="Arial" w:eastAsia="Arial" w:hAnsi="Arial"/>
          <w:color w:val="1A1A1A"/>
          <w:sz w:val="20"/>
          <w:szCs w:val="20"/>
        </w:rPr>
        <w:t xml:space="preserve">The following tables define all valid conversion mappings. These are the same tables stored in the Conversions tab of the exported XLSX. Engineering may add rows to the Conversions tab to extend coverage; new rows within the existing VLOOKUP range are picked up automatically.</w:t>
      </w:r>
    </w:p>
    <w:p>
      <w:pPr>
        <w:spacing w:after="0" w:before="0"/>
      </w:pPr>
      <w:r>
        <w:t xml:space="preserve"/>
      </w:r>
    </w:p>
    <w:p>
      <w:pPr>
        <w:spacing w:after="60" w:before="220"/>
      </w:pPr>
      <w:r>
        <w:rPr>
          <w:rFonts w:ascii="Arial" w:cs="Arial" w:eastAsia="Arial" w:hAnsi="Arial"/>
          <w:b/>
          <w:bCs/>
          <w:color w:val="0D3349"/>
          <w:sz w:val="22"/>
          <w:szCs w:val="22"/>
        </w:rPr>
        <w:t xml:space="preserve">Element / Component Conversions</w:t>
      </w:r>
    </w:p>
    <w:p>
      <w:pPr>
        <w:spacing w:after="60" w:before="60"/>
      </w:pPr>
      <w:r>
        <w:rPr>
          <w:rFonts w:ascii="Arial" w:cs="Arial" w:eastAsia="Arial" w:hAnsi="Arial"/>
          <w:color w:val="1A1A1A"/>
          <w:sz w:val="20"/>
          <w:szCs w:val="20"/>
        </w:rPr>
        <w:t xml:space="default"/>
      </w:r>
    </w:p>
    <w:p>
      <w:pPr>
        <w:spacing w:after="60" w:before="60"/>
      </w:pPr>
      <w:r>
        <w:rPr>
          <w:rFonts w:ascii="Arial" w:cs="Arial" w:eastAsia="Arial" w:hAnsi="Arial"/>
          <w:color w:val="1A1A1A"/>
          <w:sz w:val="20"/>
          <w:szCs w:val="20"/>
        </w:rPr>
        <w:t xml:space="preserve">Lookup key: Input Component (derived).  Conversions tab columns: A (the Source Platform) | B (the organization) | C (the OEM).</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3080"/>
        <w:gridCol w:w="3080"/>
      </w:tblGrid>
      <w:tr>
        <w:trPr>
          <w:tblHeader/>
        </w:trPr>
        <w:tc>
          <w:tcPr>
            <w:tcW w:type="dxa" w:w="32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7"/>
                <w:szCs w:val="17"/>
              </w:rPr>
              <w:t xml:space="preserve">Input Platform / the organization</w:t>
            </w:r>
          </w:p>
        </w:tc>
        <w:tc>
          <w:tcPr>
            <w:tcW w:type="dxa" w:w="308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7"/>
                <w:szCs w:val="17"/>
              </w:rPr>
              <w:t xml:space="preserve">the organization Equivalent</w:t>
            </w:r>
          </w:p>
        </w:tc>
        <w:tc>
          <w:tcPr>
            <w:tcW w:type="dxa" w:w="308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7"/>
                <w:szCs w:val="17"/>
              </w:rPr>
              <w:t xml:space="preserve">the OEM Equivalent</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Blade - Laminate</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Laminate</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Laminate</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Blade - Structure</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Core Material</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Laminate</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Blade - Surface</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Coating</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Coating</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Blade - Through</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Core Material</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Laminate</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Blade - Top Coat</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Coating</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Coating</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Drainage System - Auxiliary Component</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Accessory - Drain Hole</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Drain Hole</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Hub - Auxiliary Component</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Other</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Other</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Leading Edge Protection - Auxiliary Component</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LEP - Coating</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LEP - Tape</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Lightning Protection System - Auxiliary Component</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LPS - Other</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LPS - Other</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Lightning Receptors - Auxiliary Component</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LPS - Receptor</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LPS - Receptor</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Other - Auxiliary Component</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Other</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Other</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Pitch System - Auxiliary Component</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Other</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Other</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Rain Collar - Auxiliary Component</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Accessory - Rain/Blade Collar</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Add-on - Rain/Blade Collar</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Serrations - Auxiliary Component</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Add-on - TE Serrations</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Add-on - TE Serrations</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Vortex Generators - Auxiliary Component</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Add-on - Vortex Generator</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Add-on - Vortex Generator</w:t>
            </w:r>
          </w:p>
        </w:tc>
      </w:tr>
    </w:tbl>
    <w:p>
      <w:pPr>
        <w:spacing w:after="0" w:before="0"/>
      </w:pPr>
      <w:r>
        <w:t xml:space="preserve"/>
      </w:r>
    </w:p>
    <w:p>
      <w:pPr>
        <w:spacing w:after="60" w:before="220"/>
      </w:pPr>
      <w:r>
        <w:rPr>
          <w:rFonts w:ascii="Arial" w:cs="Arial" w:eastAsia="Arial" w:hAnsi="Arial"/>
          <w:b/>
          <w:bCs/>
          <w:color w:val="0D3349"/>
          <w:sz w:val="22"/>
          <w:szCs w:val="22"/>
        </w:rPr>
        <w:t xml:space="preserve">Anomaly Type Conversions</w:t>
      </w:r>
    </w:p>
    <w:p>
      <w:pPr>
        <w:spacing w:after="60" w:before="60"/>
      </w:pPr>
      <w:r>
        <w:rPr>
          <w:rFonts w:ascii="Arial" w:cs="Arial" w:eastAsia="Arial" w:hAnsi="Arial"/>
          <w:color w:val="1A1A1A"/>
          <w:sz w:val="20"/>
          <w:szCs w:val="20"/>
        </w:rPr>
        <w:t xml:space="preserve">Lookup key: Input Damage Type (derived).  Conversions tab columns: A (the Source Platform) | B (the organization) | C (the OEM).</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3080"/>
        <w:gridCol w:w="3080"/>
      </w:tblGrid>
      <w:tr>
        <w:trPr>
          <w:tblHeader/>
        </w:trPr>
        <w:tc>
          <w:tcPr>
            <w:tcW w:type="dxa" w:w="32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7"/>
                <w:szCs w:val="17"/>
              </w:rPr>
              <w:t xml:space="preserve">Input Platform / the organization</w:t>
            </w:r>
          </w:p>
        </w:tc>
        <w:tc>
          <w:tcPr>
            <w:tcW w:type="dxa" w:w="308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7"/>
                <w:szCs w:val="17"/>
              </w:rPr>
              <w:t xml:space="preserve">the organization Equivalent</w:t>
            </w:r>
          </w:p>
        </w:tc>
        <w:tc>
          <w:tcPr>
            <w:tcW w:type="dxa" w:w="308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7"/>
                <w:szCs w:val="17"/>
              </w:rPr>
              <w:t xml:space="preserve">the OEM Equivalent</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Bondline</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Disbond</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Crack - Split</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Bondline - Crushed</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Crush/Impact</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Damaged Laminate - Crush/Impact Damage</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Chip</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Chip</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Chipped Coat - Chip</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Chip - Lightning</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Lightning - Strike</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Lightning Damage - Lightning Strike</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Crack</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Crack - TLC</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Crack - Longitudinal</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Crack - Bond Longitudinal</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Crack - Longitudinal</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Crack - Longitudinal</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Crack - Bond Transverse</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Crack - Transverse</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Crack - Transverse</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Crack - Diagonal</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Crack - TLC</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Crack - Diagonal</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Crack - Fatigue Cracks</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Crack - Transverse</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Crack - Transverse</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Crack - Longitudinal</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Crack - Longitudinal</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Crack - Longitudinal</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Crack - Spiderweb-shaped</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Crack - Diagonal</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Crack - Diagonal</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Crack - T-l-c Shaped</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Crack - Diagonal</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Crack - Diagonal</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Crack - Trailing Transverse</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Crack - Transverse</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Crack - Chordwise</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Crack - Transverse</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Crack - Transverse</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Crack - Transverse</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Damaged</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Broken</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N/A - Damage</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Damaged Cover</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Other</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Other</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Damaged Or Misaligned</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Bent/Deformed</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N/A - Damage</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Damaged Or Obstructed</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Blockage</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N/A - Damage</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Damaged Or Obstructed - Lightning</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Burn</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Lightning Damage - Lightning Strike</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Delamination</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Delamination</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Damaged Laminate - Delamination</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Delamination - Lightning</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Lightning - Delamination</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Lightning Damage - Lightning Strike</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Discoloration</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Discoloration</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Coat Fault - Abnormality</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Discoloration - Bugs / Dirt</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Dirt/Residue</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Rub Mark - Dirt/Contamination</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Discoloration - Scorch</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Lightning - Strike</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Lightning Hit - Receptor - Lightning Strike</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Erosion</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Erosion</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Erosion</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Flaking</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Flaking</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Rub Mark - Peeling/Flaking</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Missing</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Missing</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N/A - Missing</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Other</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Unknown/Other</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N/A - Unknown/Other</w:t>
            </w:r>
          </w:p>
        </w:tc>
      </w:tr>
      <w:tr>
        <w:tc>
          <w:tcPr>
            <w:tcW w:type="dxa" w:w="320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Pinholes</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Flaking</w:t>
            </w:r>
          </w:p>
        </w:tc>
        <w:tc>
          <w:tcPr>
            <w:tcW w:type="dxa" w:w="308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Rub Mark - Peeling/Flaking</w:t>
            </w:r>
          </w:p>
        </w:tc>
      </w:tr>
      <w:tr>
        <w:tc>
          <w:tcPr>
            <w:tcW w:type="dxa" w:w="320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Scratch</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Scratch/Gouge</w:t>
            </w:r>
          </w:p>
        </w:tc>
        <w:tc>
          <w:tcPr>
            <w:tcW w:type="dxa" w:w="308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Scratch - Scratch/Gouge</w:t>
            </w:r>
          </w:p>
        </w:tc>
      </w:tr>
    </w:tbl>
    <w:p>
      <w:pPr>
        <w:spacing w:after="0" w:before="0"/>
      </w:pPr>
      <w:r>
        <w:t xml:space="preserve"/>
      </w:r>
    </w:p>
    <w:p>
      <w:pPr>
        <w:spacing w:after="60" w:before="220"/>
      </w:pPr>
      <w:r>
        <w:rPr>
          <w:rFonts w:ascii="Arial" w:cs="Arial" w:eastAsia="Arial" w:hAnsi="Arial"/>
          <w:b/>
          <w:bCs/>
          <w:color w:val="0D3349"/>
          <w:sz w:val="22"/>
          <w:szCs w:val="22"/>
        </w:rPr>
        <w:t xml:space="preserve">Blade Side Conversions</w:t>
      </w:r>
    </w:p>
    <w:p>
      <w:pPr>
        <w:spacing w:after="60" w:before="60"/>
      </w:pPr>
      <w:r>
        <w:rPr>
          <w:rFonts w:ascii="Arial" w:cs="Arial" w:eastAsia="Arial" w:hAnsi="Arial"/>
          <w:color w:val="1A1A1A"/>
          <w:sz w:val="20"/>
          <w:szCs w:val="20"/>
        </w:rPr>
        <w:t xml:space="preserve">Lookup key: Blade Side (raw field, direct lookup).  Conversions tab columns: A (the Source Platform) | B (the organization) | C (the OEM).</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7"/>
                <w:szCs w:val="17"/>
              </w:rPr>
              <w:t xml:space="preserve">Input Platform / the organization</w:t>
            </w:r>
          </w:p>
        </w:tc>
        <w:tc>
          <w:tcPr>
            <w:tcW w:type="dxa" w:w="312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7"/>
                <w:szCs w:val="17"/>
              </w:rPr>
              <w:t xml:space="preserve">the organization Equivalent</w:t>
            </w:r>
          </w:p>
        </w:tc>
        <w:tc>
          <w:tcPr>
            <w:tcW w:type="dxa" w:w="312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7"/>
                <w:szCs w:val="17"/>
              </w:rPr>
              <w:t xml:space="preserve">the OEM Equivalent</w:t>
            </w:r>
          </w:p>
        </w:tc>
      </w:tr>
      <w:tr>
        <w:tc>
          <w:tcPr>
            <w:tcW w:type="dxa" w:w="312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Suction Side</w:t>
            </w:r>
          </w:p>
        </w:tc>
        <w:tc>
          <w:tcPr>
            <w:tcW w:type="dxa" w:w="312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Suction Side</w:t>
            </w:r>
          </w:p>
        </w:tc>
        <w:tc>
          <w:tcPr>
            <w:tcW w:type="dxa" w:w="312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Leeward</w:t>
            </w:r>
          </w:p>
        </w:tc>
      </w:tr>
      <w:tr>
        <w:tc>
          <w:tcPr>
            <w:tcW w:type="dxa" w:w="312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Pressure Side</w:t>
            </w:r>
          </w:p>
        </w:tc>
        <w:tc>
          <w:tcPr>
            <w:tcW w:type="dxa" w:w="312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Pressure Side</w:t>
            </w:r>
          </w:p>
        </w:tc>
        <w:tc>
          <w:tcPr>
            <w:tcW w:type="dxa" w:w="312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Windward</w:t>
            </w:r>
          </w:p>
        </w:tc>
      </w:tr>
      <w:tr>
        <w:tc>
          <w:tcPr>
            <w:tcW w:type="dxa" w:w="312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0D3349"/>
                <w:sz w:val="16"/>
                <w:szCs w:val="16"/>
              </w:rPr>
              <w:t xml:space="preserve">Leading Edge</w:t>
            </w:r>
          </w:p>
        </w:tc>
        <w:tc>
          <w:tcPr>
            <w:tcW w:type="dxa" w:w="312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Leading Edge</w:t>
            </w:r>
          </w:p>
        </w:tc>
        <w:tc>
          <w:tcPr>
            <w:tcW w:type="dxa" w:w="3120"/>
            <w:tcBorders>
              <w:top w:val="single" w:color="D0D7DE" w:sz="1"/>
              <w:left w:val="single" w:color="D0D7DE" w:sz="1"/>
              <w:bottom w:val="single" w:color="D0D7DE" w:sz="1"/>
              <w:right w:val="single" w:color="D0D7DE" w:sz="1"/>
            </w:tcBorders>
            <w:shd w:fill="FFFFFF" w:val="clear"/>
            <w:tcMar>
              <w:top w:type="dxa" w:w="70"/>
              <w:left w:type="dxa" w:w="120"/>
              <w:bottom w:type="dxa" w:w="70"/>
              <w:right w:type="dxa" w:w="120"/>
            </w:tcMar>
          </w:tcPr>
          <w:p>
            <w:r>
              <w:rPr>
                <w:rFonts w:ascii="Courier New" w:cs="Courier New" w:eastAsia="Courier New" w:hAnsi="Courier New"/>
                <w:color w:val="4A5568"/>
                <w:sz w:val="16"/>
                <w:szCs w:val="16"/>
              </w:rPr>
              <w:t xml:space="preserve">Leading Edge</w:t>
            </w:r>
          </w:p>
        </w:tc>
      </w:tr>
      <w:tr>
        <w:tc>
          <w:tcPr>
            <w:tcW w:type="dxa" w:w="312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0D3349"/>
                <w:sz w:val="16"/>
                <w:szCs w:val="16"/>
              </w:rPr>
              <w:t xml:space="preserve">Trailing Edge</w:t>
            </w:r>
          </w:p>
        </w:tc>
        <w:tc>
          <w:tcPr>
            <w:tcW w:type="dxa" w:w="312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Trailing Edge</w:t>
            </w:r>
          </w:p>
        </w:tc>
        <w:tc>
          <w:tcPr>
            <w:tcW w:type="dxa" w:w="3120"/>
            <w:tcBorders>
              <w:top w:val="single" w:color="D0D7DE" w:sz="1"/>
              <w:left w:val="single" w:color="D0D7DE" w:sz="1"/>
              <w:bottom w:val="single" w:color="D0D7DE" w:sz="1"/>
              <w:right w:val="single" w:color="D0D7DE" w:sz="1"/>
            </w:tcBorders>
            <w:shd w:fill="F4F6F8" w:val="clear"/>
            <w:tcMar>
              <w:top w:type="dxa" w:w="70"/>
              <w:left w:type="dxa" w:w="120"/>
              <w:bottom w:type="dxa" w:w="70"/>
              <w:right w:type="dxa" w:w="120"/>
            </w:tcMar>
          </w:tcPr>
          <w:p>
            <w:r>
              <w:rPr>
                <w:rFonts w:ascii="Courier New" w:cs="Courier New" w:eastAsia="Courier New" w:hAnsi="Courier New"/>
                <w:color w:val="4A5568"/>
                <w:sz w:val="16"/>
                <w:szCs w:val="16"/>
              </w:rPr>
              <w:t xml:space="preserve">Trailing Edge</w:t>
            </w:r>
          </w:p>
        </w:tc>
      </w:tr>
    </w:tbl>
    <w:p>
      <w:pPr>
        <w:spacing w:after="0" w:before="0"/>
      </w:pPr>
      <w:r>
        <w:t xml:space="preserve"/>
      </w:r>
    </w:p>
    <w:p>
      <w:r>
        <w:br w:type="page"/>
      </w:r>
    </w:p>
    <w:p>
      <w:pPr>
        <w:pStyle w:val="Heading2"/>
        <w:pBdr>
          <w:bottom w:val="single" w:color="00A97F" w:sz="4" w:space="4"/>
        </w:pBdr>
        <w:spacing w:after="80" w:before="320"/>
      </w:pPr>
      <w:r>
        <w:rPr>
          <w:rFonts w:ascii="Arial" w:cs="Arial" w:eastAsia="Arial" w:hAnsi="Arial"/>
          <w:b/>
          <w:bCs/>
          <w:color w:val="1B5E8A"/>
          <w:sz w:val="26"/>
          <w:szCs w:val="26"/>
        </w:rPr>
        <w:t xml:space="preserve">Validation Status Reference</w:t>
      </w:r>
    </w:p>
    <w:p>
      <w:pPr>
        <w:spacing w:after="60" w:before="60"/>
      </w:pPr>
      <w:r>
        <w:rPr>
          <w:rFonts w:ascii="Arial" w:cs="Arial" w:eastAsia="Arial" w:hAnsi="Arial"/>
          <w:color w:val="1A1A1A"/>
          <w:sz w:val="20"/>
          <w:szCs w:val="20"/>
        </w:rPr>
        <w:t xml:space="preserve">The following statuses are assigned to row-level issues. Each status has distinct behavior in the dashboard, compliance score, and export gate.</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800"/>
        <w:gridCol w:w="2160"/>
        <w:gridCol w:w="2000"/>
        <w:gridCol w:w="2000"/>
      </w:tblGrid>
      <w:tr>
        <w:trPr>
          <w:tblHeader/>
        </w:trPr>
        <w:tc>
          <w:tcPr>
            <w:tcW w:type="dxa" w:w="14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Status</w:t>
            </w:r>
          </w:p>
        </w:tc>
        <w:tc>
          <w:tcPr>
            <w:tcW w:type="dxa" w:w="18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Color</w:t>
            </w:r>
          </w:p>
        </w:tc>
        <w:tc>
          <w:tcPr>
            <w:tcW w:type="dxa" w:w="216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Trigger</w:t>
            </w:r>
          </w:p>
        </w:tc>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Compliance Score</w:t>
            </w:r>
          </w:p>
        </w:tc>
        <w:tc>
          <w:tcPr>
            <w:tcW w:type="dxa" w:w="20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Export Gate</w:t>
            </w:r>
          </w:p>
        </w:tc>
      </w:tr>
      <w:tr>
        <w:tc>
          <w:tcPr>
            <w:tcW w:type="dxa" w:w="1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C0392B"/>
                <w:sz w:val="17"/>
                <w:szCs w:val="17"/>
              </w:rPr>
              <w:t xml:space="preserve">Error</w:t>
            </w:r>
          </w:p>
        </w:tc>
        <w:tc>
          <w:tcPr>
            <w:tcW w:type="dxa" w:w="18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7"/>
                <w:szCs w:val="17"/>
              </w:rPr>
              <w:t xml:space="preserve">Red</w:t>
            </w:r>
          </w:p>
        </w:tc>
        <w:tc>
          <w:tcPr>
            <w:tcW w:type="dxa" w:w="2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7"/>
                <w:szCs w:val="17"/>
              </w:rPr>
              <w:t xml:space="preserve">Required field missing or format invalid</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7"/>
                <w:szCs w:val="17"/>
              </w:rPr>
              <w:t xml:space="preserve">Counts against score</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7"/>
                <w:szCs w:val="17"/>
              </w:rPr>
              <w:t xml:space="preserve">Does not block export</w:t>
            </w:r>
          </w:p>
        </w:tc>
      </w:tr>
      <w:tr>
        <w:tc>
          <w:tcPr>
            <w:tcW w:type="dxa" w:w="14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F5A623"/>
                <w:sz w:val="17"/>
                <w:szCs w:val="17"/>
              </w:rPr>
              <w:t xml:space="preserve">Manual Review</w:t>
            </w:r>
          </w:p>
        </w:tc>
        <w:tc>
          <w:tcPr>
            <w:tcW w:type="dxa" w:w="18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1A1A1A"/>
                <w:sz w:val="17"/>
                <w:szCs w:val="17"/>
              </w:rPr>
              <w:t xml:space="preserve">Amber</w:t>
            </w:r>
          </w:p>
        </w:tc>
        <w:tc>
          <w:tcPr>
            <w:tcW w:type="dxa" w:w="2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1A1A1A"/>
                <w:sz w:val="17"/>
                <w:szCs w:val="17"/>
              </w:rPr>
              <w:t xml:space="preserve">Concatenated value not in conversion table</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1A1A1A"/>
                <w:sz w:val="17"/>
                <w:szCs w:val="17"/>
              </w:rPr>
              <w:t xml:space="preserve">Counts against score</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C0392B"/>
                <w:sz w:val="17"/>
                <w:szCs w:val="17"/>
              </w:rPr>
              <w:t xml:space="preserve">BLOCKS export until resolved</w:t>
            </w:r>
          </w:p>
        </w:tc>
      </w:tr>
      <w:tr>
        <w:tc>
          <w:tcPr>
            <w:tcW w:type="dxa" w:w="1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0891B2"/>
                <w:sz w:val="17"/>
                <w:szCs w:val="17"/>
              </w:rPr>
              <w:t xml:space="preserve">Check Internally</w:t>
            </w:r>
          </w:p>
        </w:tc>
        <w:tc>
          <w:tcPr>
            <w:tcW w:type="dxa" w:w="18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7"/>
                <w:szCs w:val="17"/>
              </w:rPr>
              <w:t xml:space="preserve">Blue</w:t>
            </w:r>
          </w:p>
        </w:tc>
        <w:tc>
          <w:tcPr>
            <w:tcW w:type="dxa" w:w="2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7"/>
                <w:szCs w:val="17"/>
              </w:rPr>
              <w:t xml:space="preserve">Asset or Coordinates field empty</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7"/>
                <w:szCs w:val="17"/>
              </w:rPr>
              <w:t xml:space="preserve">EXCLUDED from score</w:t>
            </w:r>
          </w:p>
        </w:tc>
        <w:tc>
          <w:tcPr>
            <w:tcW w:type="dxa" w:w="2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7"/>
                <w:szCs w:val="17"/>
              </w:rPr>
              <w:t xml:space="preserve">Does not block export</w:t>
            </w:r>
          </w:p>
        </w:tc>
      </w:tr>
      <w:tr>
        <w:tc>
          <w:tcPr>
            <w:tcW w:type="dxa" w:w="14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F5A623"/>
                <w:sz w:val="17"/>
                <w:szCs w:val="17"/>
              </w:rPr>
              <w:t xml:space="preserve">Warning</w:t>
            </w:r>
          </w:p>
        </w:tc>
        <w:tc>
          <w:tcPr>
            <w:tcW w:type="dxa" w:w="18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1A1A1A"/>
                <w:sz w:val="17"/>
                <w:szCs w:val="17"/>
              </w:rPr>
              <w:t xml:space="preserve">Amber</w:t>
            </w:r>
          </w:p>
        </w:tc>
        <w:tc>
          <w:tcPr>
            <w:tcW w:type="dxa" w:w="2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1A1A1A"/>
                <w:sz w:val="17"/>
                <w:szCs w:val="17"/>
              </w:rPr>
              <w:t xml:space="preserve">Conditional field format invalid</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1A1A1A"/>
                <w:sz w:val="17"/>
                <w:szCs w:val="17"/>
              </w:rPr>
              <w:t xml:space="preserve">Counts against score</w:t>
            </w:r>
          </w:p>
        </w:tc>
        <w:tc>
          <w:tcPr>
            <w:tcW w:type="dxa" w:w="2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1A1A1A"/>
                <w:sz w:val="17"/>
                <w:szCs w:val="17"/>
              </w:rPr>
              <w:t xml:space="preserve">Does not block export</w:t>
            </w:r>
          </w:p>
        </w:tc>
      </w:tr>
    </w:tbl>
    <w:p>
      <w:pPr>
        <w:spacing w:after="0" w:before="0"/>
      </w:pPr>
      <w:r>
        <w:t xml:space="preserve"/>
      </w:r>
    </w:p>
    <w:p>
      <w:pPr>
        <w:spacing w:after="60" w:before="60"/>
      </w:pPr>
      <w:r>
        <w:rPr>
          <w:rFonts w:ascii="Arial" w:cs="Arial" w:eastAsia="Arial" w:hAnsi="Arial"/>
          <w:b/>
          <w:bCs/>
          <w:color w:val="1A1A1A"/>
          <w:sz w:val="20"/>
          <w:szCs w:val="20"/>
        </w:rPr>
        <w:t xml:space="preserve">Compliance Score Formula:</w:t>
      </w:r>
    </w:p>
    <w:p>
      <w:pPr>
        <w:spacing w:after="0" w:before="0"/>
      </w:pPr>
      <w:r>
        <w:t xml:space="preserve"/>
      </w:r>
    </w:p>
    <w:p>
      <w:pPr>
        <w:shd w:fill="F0F4F8" w:val="clear"/>
        <w:spacing w:after="40" w:before="40"/>
      </w:pPr>
      <w:r>
        <w:rPr>
          <w:rFonts w:ascii="Courier New" w:cs="Courier New" w:eastAsia="Courier New" w:hAnsi="Courier New"/>
          <w:color w:val="0D3349"/>
          <w:sz w:val="18"/>
          <w:szCs w:val="18"/>
        </w:rPr>
        <w:t xml:space="preserve">Score = ROUND( cleanRows / (totalRows - checkInternallyRows) * 100, 0)</w:t>
      </w:r>
    </w:p>
    <w:p>
      <w:pPr>
        <w:spacing w:after="0" w:before="0"/>
      </w:pPr>
      <w:r>
        <w:t xml:space="preserve"/>
      </w:r>
    </w:p>
    <w:p>
      <w:pPr>
        <w:spacing w:after="60" w:before="60"/>
      </w:pPr>
      <w:r>
        <w:rPr>
          <w:rFonts w:ascii="Arial" w:cs="Arial" w:eastAsia="Arial" w:hAnsi="Arial"/>
          <w:color w:val="1A1A1A"/>
          <w:sz w:val="20"/>
          <w:szCs w:val="20"/>
        </w:rPr>
        <w:t xml:space="preserve">Where: cleanRows = rows with no issues of any kind. Check Internally rows are excluded from the denominator because they may represent valid data held in internal records.</w:t>
      </w:r>
    </w:p>
    <w:p>
      <w:pPr>
        <w:spacing w:after="0" w:before="0"/>
      </w:pPr>
      <w:r>
        <w:t xml:space="preserve"/>
      </w:r>
    </w:p>
    <w:p>
      <w:pPr>
        <w:pStyle w:val="Heading2"/>
        <w:pBdr>
          <w:bottom w:val="single" w:color="00A97F" w:sz="4" w:space="4"/>
        </w:pBdr>
        <w:spacing w:after="80" w:before="320"/>
      </w:pPr>
      <w:r>
        <w:rPr>
          <w:rFonts w:ascii="Arial" w:cs="Arial" w:eastAsia="Arial" w:hAnsi="Arial"/>
          <w:b/>
          <w:bCs/>
          <w:color w:val="1B5E8A"/>
          <w:sz w:val="26"/>
          <w:szCs w:val="26"/>
        </w:rPr>
        <w:t xml:space="preserve">Output XLSX Structure</w:t>
      </w:r>
    </w:p>
    <w:p>
      <w:pPr>
        <w:spacing w:after="60" w:before="220"/>
      </w:pPr>
      <w:r>
        <w:rPr>
          <w:rFonts w:ascii="Arial" w:cs="Arial" w:eastAsia="Arial" w:hAnsi="Arial"/>
          <w:b/>
          <w:bCs/>
          <w:color w:val="0D3349"/>
          <w:sz w:val="22"/>
          <w:szCs w:val="22"/>
        </w:rPr>
        <w:t xml:space="preserve">Tab 1 — Damages Report</w:t>
      </w:r>
    </w:p>
    <w:p>
      <w:pPr>
        <w:spacing w:after="60" w:before="60"/>
      </w:pPr>
      <w:r>
        <w:rPr>
          <w:rFonts w:ascii="Arial" w:cs="Arial" w:eastAsia="Arial" w:hAnsi="Arial"/>
          <w:color w:val="1A1A1A"/>
          <w:sz w:val="20"/>
          <w:szCs w:val="20"/>
        </w:rPr>
        <w:t xml:space="preserve">Column order matches the approved reference file. Derived columns use live VLOOKUP formulas referencing the Conversions tab.</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
        <w:gridCol w:w="2200"/>
        <w:gridCol w:w="2200"/>
        <w:gridCol w:w="2160"/>
        <w:gridCol w:w="2400"/>
      </w:tblGrid>
      <w:tr>
        <w:trPr>
          <w:tblHeader/>
        </w:trPr>
        <w:tc>
          <w:tcPr>
            <w:tcW w:type="dxa" w:w="400"/>
            <w:tcBorders>
              <w:top w:val="single" w:color="D0D7DE" w:sz="1"/>
              <w:left w:val="single" w:color="D0D7DE" w:sz="1"/>
              <w:bottom w:val="single" w:color="D0D7DE" w:sz="1"/>
              <w:right w:val="single" w:color="D0D7DE" w:sz="1"/>
            </w:tcBorders>
            <w:shd w:fill="0D3349" w:val="clear"/>
            <w:tcMar>
              <w:top w:type="dxa" w:w="70"/>
              <w:left w:type="dxa" w:w="100"/>
              <w:bottom w:type="dxa" w:w="70"/>
              <w:right w:type="dxa" w:w="100"/>
            </w:tcMar>
          </w:tcPr>
          <w:p>
            <w:r>
              <w:rPr>
                <w:rFonts w:ascii="Arial" w:cs="Arial" w:eastAsia="Arial" w:hAnsi="Arial"/>
                <w:b/>
                <w:bCs/>
                <w:color w:val="FFFFFF"/>
                <w:sz w:val="16"/>
                <w:szCs w:val="16"/>
              </w:rPr>
              <w:t xml:space="preserve">#</w:t>
            </w:r>
          </w:p>
        </w:tc>
        <w:tc>
          <w:tcPr>
            <w:tcW w:type="dxa" w:w="2200"/>
            <w:tcBorders>
              <w:top w:val="single" w:color="D0D7DE" w:sz="1"/>
              <w:left w:val="single" w:color="D0D7DE" w:sz="1"/>
              <w:bottom w:val="single" w:color="D0D7DE" w:sz="1"/>
              <w:right w:val="single" w:color="D0D7DE" w:sz="1"/>
            </w:tcBorders>
            <w:shd w:fill="0D3349" w:val="clear"/>
            <w:tcMar>
              <w:top w:type="dxa" w:w="70"/>
              <w:left w:type="dxa" w:w="100"/>
              <w:bottom w:type="dxa" w:w="70"/>
              <w:right w:type="dxa" w:w="100"/>
            </w:tcMar>
          </w:tcPr>
          <w:p>
            <w:r>
              <w:rPr>
                <w:rFonts w:ascii="Arial" w:cs="Arial" w:eastAsia="Arial" w:hAnsi="Arial"/>
                <w:b/>
                <w:bCs/>
                <w:color w:val="FFFFFF"/>
                <w:sz w:val="16"/>
                <w:szCs w:val="16"/>
              </w:rPr>
              <w:t xml:space="preserve">Column Name</w:t>
            </w:r>
          </w:p>
        </w:tc>
        <w:tc>
          <w:tcPr>
            <w:tcW w:type="dxa" w:w="2200"/>
            <w:tcBorders>
              <w:top w:val="single" w:color="D0D7DE" w:sz="1"/>
              <w:left w:val="single" w:color="D0D7DE" w:sz="1"/>
              <w:bottom w:val="single" w:color="D0D7DE" w:sz="1"/>
              <w:right w:val="single" w:color="D0D7DE" w:sz="1"/>
            </w:tcBorders>
            <w:shd w:fill="0D3349" w:val="clear"/>
            <w:tcMar>
              <w:top w:type="dxa" w:w="70"/>
              <w:left w:type="dxa" w:w="100"/>
              <w:bottom w:type="dxa" w:w="70"/>
              <w:right w:type="dxa" w:w="100"/>
            </w:tcMar>
          </w:tcPr>
          <w:p>
            <w:r>
              <w:rPr>
                <w:rFonts w:ascii="Arial" w:cs="Arial" w:eastAsia="Arial" w:hAnsi="Arial"/>
                <w:b/>
                <w:bCs/>
                <w:color w:val="FFFFFF"/>
                <w:sz w:val="16"/>
                <w:szCs w:val="16"/>
              </w:rPr>
              <w:t xml:space="preserve">Source</w:t>
            </w:r>
          </w:p>
        </w:tc>
        <w:tc>
          <w:tcPr>
            <w:tcW w:type="dxa" w:w="2160"/>
            <w:tcBorders>
              <w:top w:val="single" w:color="D0D7DE" w:sz="1"/>
              <w:left w:val="single" w:color="D0D7DE" w:sz="1"/>
              <w:bottom w:val="single" w:color="D0D7DE" w:sz="1"/>
              <w:right w:val="single" w:color="D0D7DE" w:sz="1"/>
            </w:tcBorders>
            <w:shd w:fill="0D3349" w:val="clear"/>
            <w:tcMar>
              <w:top w:type="dxa" w:w="70"/>
              <w:left w:type="dxa" w:w="100"/>
              <w:bottom w:type="dxa" w:w="70"/>
              <w:right w:type="dxa" w:w="100"/>
            </w:tcMar>
          </w:tcPr>
          <w:p>
            <w:r>
              <w:rPr>
                <w:rFonts w:ascii="Arial" w:cs="Arial" w:eastAsia="Arial" w:hAnsi="Arial"/>
                <w:b/>
                <w:bCs/>
                <w:color w:val="FFFFFF"/>
                <w:sz w:val="16"/>
                <w:szCs w:val="16"/>
              </w:rPr>
              <w:t xml:space="preserve">Formula / Value</w:t>
            </w:r>
          </w:p>
        </w:tc>
        <w:tc>
          <w:tcPr>
            <w:tcW w:type="dxa" w:w="2400"/>
            <w:tcBorders>
              <w:top w:val="single" w:color="D0D7DE" w:sz="1"/>
              <w:left w:val="single" w:color="D0D7DE" w:sz="1"/>
              <w:bottom w:val="single" w:color="D0D7DE" w:sz="1"/>
              <w:right w:val="single" w:color="D0D7DE" w:sz="1"/>
            </w:tcBorders>
            <w:shd w:fill="0D3349" w:val="clear"/>
            <w:tcMar>
              <w:top w:type="dxa" w:w="70"/>
              <w:left w:type="dxa" w:w="100"/>
              <w:bottom w:type="dxa" w:w="70"/>
              <w:right w:type="dxa" w:w="100"/>
            </w:tcMar>
          </w:tcPr>
          <w:p>
            <w:r>
              <w:rPr>
                <w:rFonts w:ascii="Arial" w:cs="Arial" w:eastAsia="Arial" w:hAnsi="Arial"/>
                <w:b/>
                <w:bCs/>
                <w:color w:val="FFFFFF"/>
                <w:sz w:val="16"/>
                <w:szCs w:val="16"/>
              </w:rPr>
              <w:t xml:space="preserve">Notes</w:t>
            </w:r>
          </w:p>
        </w:tc>
      </w:tr>
      <w:tr>
        <w:tc>
          <w:tcPr>
            <w:tcW w:type="dxa" w:w="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A</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bCs/>
                <w:color w:val="0D3349"/>
                <w:sz w:val="16"/>
                <w:szCs w:val="16"/>
              </w:rPr>
              <w:t xml:space="preserve">ID</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from source</w:t>
            </w:r>
          </w:p>
        </w:tc>
        <w:tc>
          <w:tcPr>
            <w:tcW w:type="dxa" w:w="2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
            </w:r>
          </w:p>
        </w:tc>
      </w:tr>
      <w:tr>
        <w:tc>
          <w:tcPr>
            <w:tcW w:type="dxa" w:w="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B</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bCs/>
                <w:color w:val="0D3349"/>
                <w:sz w:val="16"/>
                <w:szCs w:val="16"/>
              </w:rPr>
              <w:t xml:space="preserve">Site</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from source</w:t>
            </w:r>
          </w:p>
        </w:tc>
        <w:tc>
          <w:tcPr>
            <w:tcW w:type="dxa" w:w="2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
            </w:r>
          </w:p>
        </w:tc>
      </w:tr>
      <w:tr>
        <w:tc>
          <w:tcPr>
            <w:tcW w:type="dxa" w:w="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C</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bCs/>
                <w:color w:val="0D3349"/>
                <w:sz w:val="16"/>
                <w:szCs w:val="16"/>
              </w:rPr>
              <w:t xml:space="preserve">Turbine</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from source</w:t>
            </w:r>
          </w:p>
        </w:tc>
        <w:tc>
          <w:tcPr>
            <w:tcW w:type="dxa" w:w="2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
            </w:r>
          </w:p>
        </w:tc>
      </w:tr>
      <w:tr>
        <w:tc>
          <w:tcPr>
            <w:tcW w:type="dxa" w:w="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D</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bCs/>
                <w:color w:val="0D3349"/>
                <w:sz w:val="16"/>
                <w:szCs w:val="16"/>
              </w:rPr>
              <w:t xml:space="preserve">Asset</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from source</w:t>
            </w:r>
          </w:p>
        </w:tc>
        <w:tc>
          <w:tcPr>
            <w:tcW w:type="dxa" w:w="2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Check Internally if empty</w:t>
            </w:r>
          </w:p>
        </w:tc>
      </w:tr>
      <w:tr>
        <w:tc>
          <w:tcPr>
            <w:tcW w:type="dxa" w:w="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E</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bCs/>
                <w:color w:val="0D3349"/>
                <w:sz w:val="16"/>
                <w:szCs w:val="16"/>
              </w:rPr>
              <w:t xml:space="preserve">Serial Number</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Alias</w:t>
            </w:r>
          </w:p>
        </w:tc>
        <w:tc>
          <w:tcPr>
            <w:tcW w:type="dxa" w:w="216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Turbine Serial Number → Serial Number</w:t>
            </w:r>
          </w:p>
        </w:tc>
        <w:tc>
          <w:tcPr>
            <w:tcW w:type="dxa" w:w="2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Optional; no flag if empty</w:t>
            </w:r>
          </w:p>
        </w:tc>
      </w:tr>
      <w:tr>
        <w:tc>
          <w:tcPr>
            <w:tcW w:type="dxa" w:w="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F</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bCs/>
                <w:color w:val="0D3349"/>
                <w:sz w:val="16"/>
                <w:szCs w:val="16"/>
              </w:rPr>
              <w:t xml:space="preserve">Severity</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from source</w:t>
            </w:r>
          </w:p>
        </w:tc>
        <w:tc>
          <w:tcPr>
            <w:tcW w:type="dxa" w:w="2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Validated: 1–5</w:t>
            </w:r>
          </w:p>
        </w:tc>
      </w:tr>
      <w:tr>
        <w:tc>
          <w:tcPr>
            <w:tcW w:type="dxa" w:w="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G</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bCs/>
                <w:color w:val="0D3349"/>
                <w:sz w:val="16"/>
                <w:szCs w:val="16"/>
              </w:rPr>
              <w:t xml:space="preserve">Critical</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from source</w:t>
            </w:r>
          </w:p>
        </w:tc>
        <w:tc>
          <w:tcPr>
            <w:tcW w:type="dxa" w:w="2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Validated: Yes/No</w:t>
            </w:r>
          </w:p>
        </w:tc>
      </w:tr>
      <w:tr>
        <w:tc>
          <w:tcPr>
            <w:tcW w:type="dxa" w:w="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H</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bCs/>
                <w:color w:val="0D3349"/>
                <w:sz w:val="16"/>
                <w:szCs w:val="16"/>
              </w:rPr>
              <w:t xml:space="preserve">Propagation Type</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from source</w:t>
            </w:r>
          </w:p>
        </w:tc>
        <w:tc>
          <w:tcPr>
            <w:tcW w:type="dxa" w:w="2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
            </w:r>
          </w:p>
        </w:tc>
      </w:tr>
      <w:tr>
        <w:tc>
          <w:tcPr>
            <w:tcW w:type="dxa" w:w="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I</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bCs/>
                <w:color w:val="0D3349"/>
                <w:sz w:val="16"/>
                <w:szCs w:val="16"/>
              </w:rPr>
              <w:t xml:space="preserve">Date</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from source</w:t>
            </w:r>
          </w:p>
        </w:tc>
        <w:tc>
          <w:tcPr>
            <w:tcW w:type="dxa" w:w="2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Validated: YYYY-MM-DD</w:t>
            </w:r>
          </w:p>
        </w:tc>
      </w:tr>
      <w:tr>
        <w:tc>
          <w:tcPr>
            <w:tcW w:type="dxa" w:w="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J</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bCs/>
                <w:color w:val="0D3349"/>
                <w:sz w:val="16"/>
                <w:szCs w:val="16"/>
              </w:rPr>
              <w:t xml:space="preserve">OpSeverity</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from source</w:t>
            </w:r>
          </w:p>
        </w:tc>
        <w:tc>
          <w:tcPr>
            <w:tcW w:type="dxa" w:w="2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
            </w:r>
          </w:p>
        </w:tc>
      </w:tr>
      <w:tr>
        <w:tc>
          <w:tcPr>
            <w:tcW w:type="dxa" w:w="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K</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bCs/>
                <w:color w:val="0D3349"/>
                <w:sz w:val="16"/>
                <w:szCs w:val="16"/>
              </w:rPr>
              <w:t xml:space="preserve">Monitoring Recommendation</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from source</w:t>
            </w:r>
          </w:p>
        </w:tc>
        <w:tc>
          <w:tcPr>
            <w:tcW w:type="dxa" w:w="2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
            </w:r>
          </w:p>
        </w:tc>
      </w:tr>
      <w:tr>
        <w:tc>
          <w:tcPr>
            <w:tcW w:type="dxa" w:w="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L</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bCs/>
                <w:color w:val="0D3349"/>
                <w:sz w:val="16"/>
                <w:szCs w:val="16"/>
              </w:rPr>
              <w:t xml:space="preserve">Damage Location</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from source</w:t>
            </w:r>
          </w:p>
        </w:tc>
        <w:tc>
          <w:tcPr>
            <w:tcW w:type="dxa" w:w="2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Validated: Internal/External</w:t>
            </w:r>
          </w:p>
        </w:tc>
      </w:tr>
      <w:tr>
        <w:tc>
          <w:tcPr>
            <w:tcW w:type="dxa" w:w="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M</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bCs/>
                <w:color w:val="0D3349"/>
                <w:sz w:val="16"/>
                <w:szCs w:val="16"/>
              </w:rPr>
              <w:t xml:space="preserve">Component</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from source</w:t>
            </w:r>
          </w:p>
        </w:tc>
        <w:tc>
          <w:tcPr>
            <w:tcW w:type="dxa" w:w="2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Input to Input Component</w:t>
            </w:r>
          </w:p>
        </w:tc>
      </w:tr>
      <w:tr>
        <w:tc>
          <w:tcPr>
            <w:tcW w:type="dxa" w:w="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N</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bCs/>
                <w:color w:val="0D3349"/>
                <w:sz w:val="16"/>
                <w:szCs w:val="16"/>
              </w:rPr>
              <w:t xml:space="preserve">Material</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from source</w:t>
            </w:r>
          </w:p>
        </w:tc>
        <w:tc>
          <w:tcPr>
            <w:tcW w:type="dxa" w:w="2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Input to Input Component (Format A)</w:t>
            </w:r>
          </w:p>
        </w:tc>
      </w:tr>
      <w:tr>
        <w:tc>
          <w:tcPr>
            <w:tcW w:type="dxa" w:w="4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val="false"/>
                <w:bCs w:val="false"/>
                <w:color w:val="4A5568"/>
                <w:sz w:val="16"/>
                <w:szCs w:val="16"/>
              </w:rPr>
              <w:t xml:space="preserve">O</w:t>
            </w:r>
          </w:p>
        </w:tc>
        <w:tc>
          <w:tcPr>
            <w:tcW w:type="dxa" w:w="22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bCs/>
                <w:color w:val="0D3349"/>
                <w:sz w:val="16"/>
                <w:szCs w:val="16"/>
              </w:rPr>
              <w:t xml:space="preserve">Input Component</w:t>
            </w:r>
          </w:p>
        </w:tc>
        <w:tc>
          <w:tcPr>
            <w:tcW w:type="dxa" w:w="22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val="false"/>
                <w:bCs w:val="false"/>
                <w:color w:val="27AE60"/>
                <w:sz w:val="16"/>
                <w:szCs w:val="16"/>
              </w:rPr>
              <w:t xml:space="preserve">Derived</w:t>
            </w:r>
          </w:p>
        </w:tc>
        <w:tc>
          <w:tcPr>
            <w:tcW w:type="dxa" w:w="216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IF(LEN(N)&gt;0,M&amp;" - "&amp;N,IF(LEN(Element)&gt;0,M&amp;" - "&amp;Element,M))</w:t>
            </w:r>
          </w:p>
        </w:tc>
        <w:tc>
          <w:tcPr>
            <w:tcW w:type="dxa" w:w="24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val="false"/>
                <w:bCs w:val="false"/>
                <w:color w:val="4A5568"/>
                <w:sz w:val="16"/>
                <w:szCs w:val="16"/>
              </w:rPr>
              <w:t xml:space="preserve">Green header</w:t>
            </w:r>
          </w:p>
        </w:tc>
      </w:tr>
      <w:tr>
        <w:tc>
          <w:tcPr>
            <w:tcW w:type="dxa" w:w="4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val="false"/>
                <w:bCs w:val="false"/>
                <w:color w:val="4A5568"/>
                <w:sz w:val="16"/>
                <w:szCs w:val="16"/>
              </w:rPr>
              <w:t xml:space="preserve">P</w:t>
            </w:r>
          </w:p>
        </w:tc>
        <w:tc>
          <w:tcPr>
            <w:tcW w:type="dxa" w:w="22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bCs/>
                <w:color w:val="0D3349"/>
                <w:sz w:val="16"/>
                <w:szCs w:val="16"/>
              </w:rPr>
              <w:t xml:space="preserve">the organization Element</w:t>
            </w:r>
          </w:p>
        </w:tc>
        <w:tc>
          <w:tcPr>
            <w:tcW w:type="dxa" w:w="22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val="false"/>
                <w:bCs w:val="false"/>
                <w:color w:val="27AE60"/>
                <w:sz w:val="16"/>
                <w:szCs w:val="16"/>
              </w:rPr>
              <w:t xml:space="preserve">Derived</w:t>
            </w:r>
          </w:p>
        </w:tc>
        <w:tc>
          <w:tcPr>
            <w:tcW w:type="dxa" w:w="216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IFERROR(VLOOKUP(O,Conversions!A:C,2,FALSE),"MANUAL REVIEW: "&amp;O)</w:t>
            </w:r>
          </w:p>
        </w:tc>
        <w:tc>
          <w:tcPr>
            <w:tcW w:type="dxa" w:w="24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val="false"/>
                <w:bCs w:val="false"/>
                <w:color w:val="4A5568"/>
                <w:sz w:val="16"/>
                <w:szCs w:val="16"/>
              </w:rPr>
              <w:t xml:space="preserve">Green header</w:t>
            </w:r>
          </w:p>
        </w:tc>
      </w:tr>
      <w:tr>
        <w:tc>
          <w:tcPr>
            <w:tcW w:type="dxa" w:w="4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val="false"/>
                <w:bCs w:val="false"/>
                <w:color w:val="4A5568"/>
                <w:sz w:val="16"/>
                <w:szCs w:val="16"/>
              </w:rPr>
              <w:t xml:space="preserve">Q</w:t>
            </w:r>
          </w:p>
        </w:tc>
        <w:tc>
          <w:tcPr>
            <w:tcW w:type="dxa" w:w="22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bCs/>
                <w:color w:val="0D3349"/>
                <w:sz w:val="16"/>
                <w:szCs w:val="16"/>
              </w:rPr>
              <w:t xml:space="preserve">the OEM Element</w:t>
            </w:r>
          </w:p>
        </w:tc>
        <w:tc>
          <w:tcPr>
            <w:tcW w:type="dxa" w:w="22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val="false"/>
                <w:bCs w:val="false"/>
                <w:color w:val="27AE60"/>
                <w:sz w:val="16"/>
                <w:szCs w:val="16"/>
              </w:rPr>
              <w:t xml:space="preserve">Derived</w:t>
            </w:r>
          </w:p>
        </w:tc>
        <w:tc>
          <w:tcPr>
            <w:tcW w:type="dxa" w:w="216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IFERROR(VLOOKUP(O,Conversions!A:C,3,FALSE),"MANUAL REVIEW: "&amp;O)</w:t>
            </w:r>
          </w:p>
        </w:tc>
        <w:tc>
          <w:tcPr>
            <w:tcW w:type="dxa" w:w="24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val="false"/>
                <w:bCs w:val="false"/>
                <w:color w:val="4A5568"/>
                <w:sz w:val="16"/>
                <w:szCs w:val="16"/>
              </w:rPr>
              <w:t xml:space="preserve">Green header</w:t>
            </w:r>
          </w:p>
        </w:tc>
      </w:tr>
      <w:tr>
        <w:tc>
          <w:tcPr>
            <w:tcW w:type="dxa" w:w="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R</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bCs/>
                <w:color w:val="0D3349"/>
                <w:sz w:val="16"/>
                <w:szCs w:val="16"/>
              </w:rPr>
              <w:t xml:space="preserve">Type</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from source</w:t>
            </w:r>
          </w:p>
        </w:tc>
        <w:tc>
          <w:tcPr>
            <w:tcW w:type="dxa" w:w="2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Input to Input Damage Type (Format A)</w:t>
            </w:r>
          </w:p>
        </w:tc>
      </w:tr>
      <w:tr>
        <w:tc>
          <w:tcPr>
            <w:tcW w:type="dxa" w:w="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S</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bCs/>
                <w:color w:val="0D3349"/>
                <w:sz w:val="16"/>
                <w:szCs w:val="16"/>
              </w:rPr>
              <w:t xml:space="preserve">Subtype</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from source</w:t>
            </w:r>
          </w:p>
        </w:tc>
        <w:tc>
          <w:tcPr>
            <w:tcW w:type="dxa" w:w="2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Input to Input Damage Type</w:t>
            </w:r>
          </w:p>
        </w:tc>
      </w:tr>
      <w:tr>
        <w:tc>
          <w:tcPr>
            <w:tcW w:type="dxa" w:w="4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val="false"/>
                <w:bCs w:val="false"/>
                <w:color w:val="4A5568"/>
                <w:sz w:val="16"/>
                <w:szCs w:val="16"/>
              </w:rPr>
              <w:t xml:space="preserve">T</w:t>
            </w:r>
          </w:p>
        </w:tc>
        <w:tc>
          <w:tcPr>
            <w:tcW w:type="dxa" w:w="22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bCs/>
                <w:color w:val="0D3349"/>
                <w:sz w:val="16"/>
                <w:szCs w:val="16"/>
              </w:rPr>
              <w:t xml:space="preserve">Input Damage Type</w:t>
            </w:r>
          </w:p>
        </w:tc>
        <w:tc>
          <w:tcPr>
            <w:tcW w:type="dxa" w:w="22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val="false"/>
                <w:bCs w:val="false"/>
                <w:color w:val="27AE60"/>
                <w:sz w:val="16"/>
                <w:szCs w:val="16"/>
              </w:rPr>
              <w:t xml:space="preserve">Derived</w:t>
            </w:r>
          </w:p>
        </w:tc>
        <w:tc>
          <w:tcPr>
            <w:tcW w:type="dxa" w:w="216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IF(LEN(S)&gt;0,R&amp;" - "&amp;S,R)</w:t>
            </w:r>
          </w:p>
        </w:tc>
        <w:tc>
          <w:tcPr>
            <w:tcW w:type="dxa" w:w="24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val="false"/>
                <w:bCs w:val="false"/>
                <w:color w:val="4A5568"/>
                <w:sz w:val="16"/>
                <w:szCs w:val="16"/>
              </w:rPr>
              <w:t xml:space="preserve">Green header</w:t>
            </w:r>
          </w:p>
        </w:tc>
      </w:tr>
      <w:tr>
        <w:tc>
          <w:tcPr>
            <w:tcW w:type="dxa" w:w="4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val="false"/>
                <w:bCs w:val="false"/>
                <w:color w:val="4A5568"/>
                <w:sz w:val="16"/>
                <w:szCs w:val="16"/>
              </w:rPr>
              <w:t xml:space="preserve">U</w:t>
            </w:r>
          </w:p>
        </w:tc>
        <w:tc>
          <w:tcPr>
            <w:tcW w:type="dxa" w:w="22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bCs/>
                <w:color w:val="0D3349"/>
                <w:sz w:val="16"/>
                <w:szCs w:val="16"/>
              </w:rPr>
              <w:t xml:space="preserve">the organization Anomaly Type</w:t>
            </w:r>
          </w:p>
        </w:tc>
        <w:tc>
          <w:tcPr>
            <w:tcW w:type="dxa" w:w="22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val="false"/>
                <w:bCs w:val="false"/>
                <w:color w:val="27AE60"/>
                <w:sz w:val="16"/>
                <w:szCs w:val="16"/>
              </w:rPr>
              <w:t xml:space="preserve">Derived</w:t>
            </w:r>
          </w:p>
        </w:tc>
        <w:tc>
          <w:tcPr>
            <w:tcW w:type="dxa" w:w="216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IFERROR(VLOOKUP(T,Conversions!A:C,2,FALSE),"MANUAL REVIEW: "&amp;T)</w:t>
            </w:r>
          </w:p>
        </w:tc>
        <w:tc>
          <w:tcPr>
            <w:tcW w:type="dxa" w:w="24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val="false"/>
                <w:bCs w:val="false"/>
                <w:color w:val="4A5568"/>
                <w:sz w:val="16"/>
                <w:szCs w:val="16"/>
              </w:rPr>
              <w:t xml:space="preserve">Green header</w:t>
            </w:r>
          </w:p>
        </w:tc>
      </w:tr>
      <w:tr>
        <w:tc>
          <w:tcPr>
            <w:tcW w:type="dxa" w:w="4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val="false"/>
                <w:bCs w:val="false"/>
                <w:color w:val="4A5568"/>
                <w:sz w:val="16"/>
                <w:szCs w:val="16"/>
              </w:rPr>
              <w:t xml:space="preserve">V</w:t>
            </w:r>
          </w:p>
        </w:tc>
        <w:tc>
          <w:tcPr>
            <w:tcW w:type="dxa" w:w="22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bCs/>
                <w:color w:val="0D3349"/>
                <w:sz w:val="16"/>
                <w:szCs w:val="16"/>
              </w:rPr>
              <w:t xml:space="preserve">the OEM Anomaly Type</w:t>
            </w:r>
          </w:p>
        </w:tc>
        <w:tc>
          <w:tcPr>
            <w:tcW w:type="dxa" w:w="22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val="false"/>
                <w:bCs w:val="false"/>
                <w:color w:val="27AE60"/>
                <w:sz w:val="16"/>
                <w:szCs w:val="16"/>
              </w:rPr>
              <w:t xml:space="preserve">Derived</w:t>
            </w:r>
          </w:p>
        </w:tc>
        <w:tc>
          <w:tcPr>
            <w:tcW w:type="dxa" w:w="216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IFERROR(VLOOKUP(T,Conversions!A:C,3,FALSE),"MANUAL REVIEW: "&amp;T)</w:t>
            </w:r>
          </w:p>
        </w:tc>
        <w:tc>
          <w:tcPr>
            <w:tcW w:type="dxa" w:w="24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val="false"/>
                <w:bCs w:val="false"/>
                <w:color w:val="4A5568"/>
                <w:sz w:val="16"/>
                <w:szCs w:val="16"/>
              </w:rPr>
              <w:t xml:space="preserve">Green header</w:t>
            </w:r>
          </w:p>
        </w:tc>
      </w:tr>
      <w:tr>
        <w:tc>
          <w:tcPr>
            <w:tcW w:type="dxa" w:w="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W</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bCs/>
                <w:color w:val="0D3349"/>
                <w:sz w:val="16"/>
                <w:szCs w:val="16"/>
              </w:rPr>
              <w:t xml:space="preserve">Blade Side</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from source</w:t>
            </w:r>
          </w:p>
        </w:tc>
        <w:tc>
          <w:tcPr>
            <w:tcW w:type="dxa" w:w="2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Input to Blade Side conversions</w:t>
            </w:r>
          </w:p>
        </w:tc>
      </w:tr>
      <w:tr>
        <w:tc>
          <w:tcPr>
            <w:tcW w:type="dxa" w:w="4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val="false"/>
                <w:bCs w:val="false"/>
                <w:color w:val="4A5568"/>
                <w:sz w:val="16"/>
                <w:szCs w:val="16"/>
              </w:rPr>
              <w:t xml:space="preserve">X</w:t>
            </w:r>
          </w:p>
        </w:tc>
        <w:tc>
          <w:tcPr>
            <w:tcW w:type="dxa" w:w="22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bCs/>
                <w:color w:val="0D3349"/>
                <w:sz w:val="16"/>
                <w:szCs w:val="16"/>
              </w:rPr>
              <w:t xml:space="preserve">the organization Blade Side</w:t>
            </w:r>
          </w:p>
        </w:tc>
        <w:tc>
          <w:tcPr>
            <w:tcW w:type="dxa" w:w="22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val="false"/>
                <w:bCs w:val="false"/>
                <w:color w:val="27AE60"/>
                <w:sz w:val="16"/>
                <w:szCs w:val="16"/>
              </w:rPr>
              <w:t xml:space="preserve">Derived</w:t>
            </w:r>
          </w:p>
        </w:tc>
        <w:tc>
          <w:tcPr>
            <w:tcW w:type="dxa" w:w="216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IFERROR(VLOOKUP(W,Conversions!A:C,2,FALSE),"MANUAL REVIEW: "&amp;W)</w:t>
            </w:r>
          </w:p>
        </w:tc>
        <w:tc>
          <w:tcPr>
            <w:tcW w:type="dxa" w:w="24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val="false"/>
                <w:bCs w:val="false"/>
                <w:color w:val="4A5568"/>
                <w:sz w:val="16"/>
                <w:szCs w:val="16"/>
              </w:rPr>
              <w:t xml:space="preserve">Green header</w:t>
            </w:r>
          </w:p>
        </w:tc>
      </w:tr>
      <w:tr>
        <w:tc>
          <w:tcPr>
            <w:tcW w:type="dxa" w:w="4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val="false"/>
                <w:bCs w:val="false"/>
                <w:color w:val="4A5568"/>
                <w:sz w:val="16"/>
                <w:szCs w:val="16"/>
              </w:rPr>
              <w:t xml:space="preserve">Y</w:t>
            </w:r>
          </w:p>
        </w:tc>
        <w:tc>
          <w:tcPr>
            <w:tcW w:type="dxa" w:w="22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bCs/>
                <w:color w:val="0D3349"/>
                <w:sz w:val="16"/>
                <w:szCs w:val="16"/>
              </w:rPr>
              <w:t xml:space="preserve">the OEM Blade Side</w:t>
            </w:r>
          </w:p>
        </w:tc>
        <w:tc>
          <w:tcPr>
            <w:tcW w:type="dxa" w:w="22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val="false"/>
                <w:bCs w:val="false"/>
                <w:color w:val="27AE60"/>
                <w:sz w:val="16"/>
                <w:szCs w:val="16"/>
              </w:rPr>
              <w:t xml:space="preserve">Derived</w:t>
            </w:r>
          </w:p>
        </w:tc>
        <w:tc>
          <w:tcPr>
            <w:tcW w:type="dxa" w:w="216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IFERROR(VLOOKUP(W,Conversions!A:C,3,FALSE),"MANUAL REVIEW: "&amp;W)</w:t>
            </w:r>
          </w:p>
        </w:tc>
        <w:tc>
          <w:tcPr>
            <w:tcW w:type="dxa" w:w="2400"/>
            <w:tcBorders>
              <w:top w:val="single" w:color="D0D7DE" w:sz="1"/>
              <w:left w:val="single" w:color="D0D7DE" w:sz="1"/>
              <w:bottom w:val="single" w:color="D0D7DE" w:sz="1"/>
              <w:right w:val="single" w:color="D0D7DE" w:sz="1"/>
            </w:tcBorders>
            <w:shd w:fill="EBF5F0" w:val="clear"/>
            <w:tcMar>
              <w:top w:type="dxa" w:w="60"/>
              <w:left w:type="dxa" w:w="100"/>
              <w:bottom w:type="dxa" w:w="60"/>
              <w:right w:type="dxa" w:w="100"/>
            </w:tcMar>
          </w:tcPr>
          <w:p>
            <w:r>
              <w:rPr>
                <w:rFonts w:ascii="Arial" w:cs="Arial" w:eastAsia="Arial" w:hAnsi="Arial"/>
                <w:b w:val="false"/>
                <w:bCs w:val="false"/>
                <w:color w:val="4A5568"/>
                <w:sz w:val="16"/>
                <w:szCs w:val="16"/>
              </w:rPr>
              <w:t xml:space="preserve">Green header</w:t>
            </w:r>
          </w:p>
        </w:tc>
      </w:tr>
      <w:tr>
        <w:tc>
          <w:tcPr>
            <w:tcW w:type="dxa" w:w="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Z</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bCs/>
                <w:color w:val="0D3349"/>
                <w:sz w:val="16"/>
                <w:szCs w:val="16"/>
              </w:rPr>
              <w:t xml:space="preserve">Blade Chamber</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Alias</w:t>
            </w:r>
          </w:p>
        </w:tc>
        <w:tc>
          <w:tcPr>
            <w:tcW w:type="dxa" w:w="216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Blade Chamber → BladeChamber</w:t>
            </w:r>
          </w:p>
        </w:tc>
        <w:tc>
          <w:tcPr>
            <w:tcW w:type="dxa" w:w="2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
            </w:r>
          </w:p>
        </w:tc>
      </w:tr>
      <w:tr>
        <w:tc>
          <w:tcPr>
            <w:tcW w:type="dxa" w:w="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AA</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bCs/>
                <w:color w:val="0D3349"/>
                <w:sz w:val="16"/>
                <w:szCs w:val="16"/>
              </w:rPr>
              <w:t xml:space="preserve">Distance (m)</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cleaned to 4dp</w:t>
            </w:r>
          </w:p>
        </w:tc>
        <w:tc>
          <w:tcPr>
            <w:tcW w:type="dxa" w:w="2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
            </w:r>
          </w:p>
        </w:tc>
      </w:tr>
      <w:tr>
        <w:tc>
          <w:tcPr>
            <w:tcW w:type="dxa" w:w="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AB</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bCs/>
                <w:color w:val="0D3349"/>
                <w:sz w:val="16"/>
                <w:szCs w:val="16"/>
              </w:rPr>
              <w:t xml:space="preserve">Length (m)</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cleaned to 4dp</w:t>
            </w:r>
          </w:p>
        </w:tc>
        <w:tc>
          <w:tcPr>
            <w:tcW w:type="dxa" w:w="2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
            </w:r>
          </w:p>
        </w:tc>
      </w:tr>
      <w:tr>
        <w:tc>
          <w:tcPr>
            <w:tcW w:type="dxa" w:w="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AC</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bCs/>
                <w:color w:val="0D3349"/>
                <w:sz w:val="16"/>
                <w:szCs w:val="16"/>
              </w:rPr>
              <w:t xml:space="preserve">Width (m)</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cleaned to 4dp</w:t>
            </w:r>
          </w:p>
        </w:tc>
        <w:tc>
          <w:tcPr>
            <w:tcW w:type="dxa" w:w="2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
            </w:r>
          </w:p>
        </w:tc>
      </w:tr>
      <w:tr>
        <w:tc>
          <w:tcPr>
            <w:tcW w:type="dxa" w:w="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AD</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bCs/>
                <w:color w:val="0D3349"/>
                <w:sz w:val="16"/>
                <w:szCs w:val="16"/>
              </w:rPr>
              <w:t xml:space="preserve">Chord (%)</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Alias</w:t>
            </w:r>
          </w:p>
        </w:tc>
        <w:tc>
          <w:tcPr>
            <w:tcW w:type="dxa" w:w="216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Chord (%) → Chord(%)</w:t>
            </w:r>
          </w:p>
        </w:tc>
        <w:tc>
          <w:tcPr>
            <w:tcW w:type="dxa" w:w="2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
            </w:r>
          </w:p>
        </w:tc>
      </w:tr>
      <w:tr>
        <w:tc>
          <w:tcPr>
            <w:tcW w:type="dxa" w:w="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AE</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bCs/>
                <w:color w:val="0D3349"/>
                <w:sz w:val="16"/>
                <w:szCs w:val="16"/>
              </w:rPr>
              <w:t xml:space="preserve">Action</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from source</w:t>
            </w:r>
          </w:p>
        </w:tc>
        <w:tc>
          <w:tcPr>
            <w:tcW w:type="dxa" w:w="2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
            </w:r>
          </w:p>
        </w:tc>
      </w:tr>
      <w:tr>
        <w:tc>
          <w:tcPr>
            <w:tcW w:type="dxa" w:w="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AF</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bCs/>
                <w:color w:val="0D3349"/>
                <w:sz w:val="16"/>
                <w:szCs w:val="16"/>
              </w:rPr>
              <w:t xml:space="preserve">Rule</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from source</w:t>
            </w:r>
          </w:p>
        </w:tc>
        <w:tc>
          <w:tcPr>
            <w:tcW w:type="dxa" w:w="2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
            </w:r>
          </w:p>
        </w:tc>
      </w:tr>
      <w:tr>
        <w:tc>
          <w:tcPr>
            <w:tcW w:type="dxa" w:w="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AG</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bCs/>
                <w:color w:val="0D3349"/>
                <w:sz w:val="16"/>
                <w:szCs w:val="16"/>
              </w:rPr>
              <w:t xml:space="preserve">Coordinates</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from source</w:t>
            </w:r>
          </w:p>
        </w:tc>
        <w:tc>
          <w:tcPr>
            <w:tcW w:type="dxa" w:w="2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Check Internally if empty</w:t>
            </w:r>
          </w:p>
        </w:tc>
      </w:tr>
      <w:tr>
        <w:tc>
          <w:tcPr>
            <w:tcW w:type="dxa" w:w="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AH</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bCs/>
                <w:color w:val="0D3349"/>
                <w:sz w:val="16"/>
                <w:szCs w:val="16"/>
              </w:rPr>
              <w:t xml:space="preserve">Source Image Reference</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from source</w:t>
            </w:r>
          </w:p>
        </w:tc>
        <w:tc>
          <w:tcPr>
            <w:tcW w:type="dxa" w:w="2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Required</w:t>
            </w:r>
          </w:p>
        </w:tc>
      </w:tr>
      <w:tr>
        <w:tc>
          <w:tcPr>
            <w:tcW w:type="dxa" w:w="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AI</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bCs/>
                <w:color w:val="0D3349"/>
                <w:sz w:val="16"/>
                <w:szCs w:val="16"/>
              </w:rPr>
              <w:t xml:space="preserve">Links</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from source</w:t>
            </w:r>
          </w:p>
        </w:tc>
        <w:tc>
          <w:tcPr>
            <w:tcW w:type="dxa" w:w="2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
            </w:r>
          </w:p>
        </w:tc>
      </w:tr>
      <w:tr>
        <w:tc>
          <w:tcPr>
            <w:tcW w:type="dxa" w:w="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AJ</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bCs/>
                <w:color w:val="0D3349"/>
                <w:sz w:val="16"/>
                <w:szCs w:val="16"/>
              </w:rPr>
              <w:t xml:space="preserve">Source Images</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Alias</w:t>
            </w:r>
          </w:p>
        </w:tc>
        <w:tc>
          <w:tcPr>
            <w:tcW w:type="dxa" w:w="216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Links → Source Images</w:t>
            </w:r>
          </w:p>
        </w:tc>
        <w:tc>
          <w:tcPr>
            <w:tcW w:type="dxa" w:w="2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Required</w:t>
            </w:r>
          </w:p>
        </w:tc>
      </w:tr>
      <w:tr>
        <w:tc>
          <w:tcPr>
            <w:tcW w:type="dxa" w:w="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AK</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bCs/>
                <w:color w:val="0D3349"/>
                <w:sz w:val="16"/>
                <w:szCs w:val="16"/>
              </w:rPr>
              <w:t xml:space="preserve">Source Image Expiration Date</w:t>
            </w:r>
          </w:p>
        </w:tc>
        <w:tc>
          <w:tcPr>
            <w:tcW w:type="dxa" w:w="22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from source</w:t>
            </w:r>
          </w:p>
        </w:tc>
        <w:tc>
          <w:tcPr>
            <w:tcW w:type="dxa" w:w="2400"/>
            <w:tcBorders>
              <w:top w:val="single" w:color="D0D7DE" w:sz="1"/>
              <w:left w:val="single" w:color="D0D7DE" w:sz="1"/>
              <w:bottom w:val="single" w:color="D0D7DE" w:sz="1"/>
              <w:right w:val="single" w:color="D0D7DE" w:sz="1"/>
            </w:tcBorders>
            <w:shd w:fill="FFFFFF" w:val="clear"/>
            <w:tcMar>
              <w:top w:type="dxa" w:w="60"/>
              <w:left w:type="dxa" w:w="100"/>
              <w:bottom w:type="dxa" w:w="60"/>
              <w:right w:type="dxa" w:w="100"/>
            </w:tcMar>
          </w:tcPr>
          <w:p>
            <w:r>
              <w:rPr>
                <w:rFonts w:ascii="Arial" w:cs="Arial" w:eastAsia="Arial" w:hAnsi="Arial"/>
                <w:b w:val="false"/>
                <w:bCs w:val="false"/>
                <w:color w:val="4A5568"/>
                <w:sz w:val="16"/>
                <w:szCs w:val="16"/>
              </w:rPr>
              <w:t xml:space="preserve"/>
            </w:r>
          </w:p>
        </w:tc>
      </w:tr>
      <w:tr>
        <w:tc>
          <w:tcPr>
            <w:tcW w:type="dxa" w:w="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AL</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bCs/>
                <w:color w:val="0D3349"/>
                <w:sz w:val="16"/>
                <w:szCs w:val="16"/>
              </w:rPr>
              <w:t xml:space="preserve">Tasks</w:t>
            </w:r>
          </w:p>
        </w:tc>
        <w:tc>
          <w:tcPr>
            <w:tcW w:type="dxa" w:w="22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Raw</w:t>
            </w:r>
          </w:p>
        </w:tc>
        <w:tc>
          <w:tcPr>
            <w:tcW w:type="dxa" w:w="216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Courier New" w:cs="Courier New" w:eastAsia="Courier New" w:hAnsi="Courier New"/>
                <w:b w:val="false"/>
                <w:bCs w:val="false"/>
                <w:color w:val="4A5568"/>
                <w:sz w:val="14"/>
                <w:szCs w:val="14"/>
              </w:rPr>
              <w:t xml:space="preserve">Direct from source</w:t>
            </w:r>
          </w:p>
        </w:tc>
        <w:tc>
          <w:tcPr>
            <w:tcW w:type="dxa" w:w="2400"/>
            <w:tcBorders>
              <w:top w:val="single" w:color="D0D7DE" w:sz="1"/>
              <w:left w:val="single" w:color="D0D7DE" w:sz="1"/>
              <w:bottom w:val="single" w:color="D0D7DE" w:sz="1"/>
              <w:right w:val="single" w:color="D0D7DE" w:sz="1"/>
            </w:tcBorders>
            <w:shd w:fill="F4F6F8" w:val="clear"/>
            <w:tcMar>
              <w:top w:type="dxa" w:w="60"/>
              <w:left w:type="dxa" w:w="100"/>
              <w:bottom w:type="dxa" w:w="60"/>
              <w:right w:type="dxa" w:w="100"/>
            </w:tcMar>
          </w:tcPr>
          <w:p>
            <w:r>
              <w:rPr>
                <w:rFonts w:ascii="Arial" w:cs="Arial" w:eastAsia="Arial" w:hAnsi="Arial"/>
                <w:b w:val="false"/>
                <w:bCs w:val="false"/>
                <w:color w:val="4A5568"/>
                <w:sz w:val="16"/>
                <w:szCs w:val="16"/>
              </w:rPr>
              <w:t xml:space="preserve"/>
            </w:r>
          </w:p>
        </w:tc>
      </w:tr>
    </w:tbl>
    <w:p>
      <w:pPr>
        <w:spacing w:after="0" w:before="0"/>
      </w:pPr>
      <w:r>
        <w:t xml:space="preserve"/>
      </w:r>
    </w:p>
    <w:p>
      <w:pPr>
        <w:spacing w:after="60" w:before="220"/>
      </w:pPr>
      <w:r>
        <w:rPr>
          <w:rFonts w:ascii="Arial" w:cs="Arial" w:eastAsia="Arial" w:hAnsi="Arial"/>
          <w:b/>
          <w:bCs/>
          <w:color w:val="0D3349"/>
          <w:sz w:val="22"/>
          <w:szCs w:val="22"/>
        </w:rPr>
        <w:t xml:space="preserve">Tab 2 — Conversions</w:t>
      </w:r>
    </w:p>
    <w:p>
      <w:pPr>
        <w:spacing w:after="60" w:before="60"/>
      </w:pPr>
      <w:r>
        <w:rPr>
          <w:rFonts w:ascii="Arial" w:cs="Arial" w:eastAsia="Arial" w:hAnsi="Arial"/>
          <w:color w:val="1A1A1A"/>
          <w:sz w:val="20"/>
          <w:szCs w:val="20"/>
        </w:rPr>
        <w:t xml:space="preserve">Three sections: Element / Component, Anomaly Type, Blade Side. Each section has a title row, a header row (the Source Platform | the organization | the OEM), and data rows. Engineering adds new rows within a section to extend mappings. VLOOKUP ranges reference the specific row ranges of each section.</w:t>
      </w:r>
    </w:p>
    <w:p>
      <w:pPr>
        <w:spacing w:after="0" w:before="0"/>
      </w:pPr>
      <w:r>
        <w:t xml:space="preserve"/>
      </w:r>
    </w:p>
    <w:p>
      <w:pPr>
        <w:pStyle w:val="Heading2"/>
        <w:pBdr>
          <w:bottom w:val="single" w:color="00A97F" w:sz="4" w:space="4"/>
        </w:pBdr>
        <w:spacing w:after="80" w:before="320"/>
      </w:pPr>
      <w:r>
        <w:rPr>
          <w:rFonts w:ascii="Arial" w:cs="Arial" w:eastAsia="Arial" w:hAnsi="Arial"/>
          <w:b/>
          <w:bCs/>
          <w:color w:val="1B5E8A"/>
          <w:sz w:val="26"/>
          <w:szCs w:val="26"/>
        </w:rPr>
        <w:t xml:space="preserve">Known Limitations</w:t>
      </w:r>
    </w:p>
    <w:p>
      <w:pPr>
        <w:pStyle w:val="ListParagraph"/>
        <w:numPr>
          <w:ilvl w:val="0"/>
          <w:numId w:val="2"/>
        </w:numPr>
        <w:spacing w:after="36" w:before="36"/>
      </w:pPr>
      <w:r>
        <w:rPr>
          <w:rFonts w:ascii="Arial" w:cs="Arial" w:eastAsia="Arial" w:hAnsi="Arial"/>
          <w:color w:val="1A1A1A"/>
          <w:sz w:val="20"/>
          <w:szCs w:val="20"/>
        </w:rPr>
        <w:t xml:space="preserve">VLOOKUP row ranges in the Damages Report tab are calculated at export time based on the current Conversions table size. Engineering adding rows beyond these ranges requires manually updating formula references in the Damages Report tab.</w:t>
      </w:r>
    </w:p>
    <w:p>
      <w:pPr>
        <w:pStyle w:val="ListParagraph"/>
        <w:numPr>
          <w:ilvl w:val="0"/>
          <w:numId w:val="2"/>
        </w:numPr>
        <w:spacing w:after="36" w:before="36"/>
      </w:pPr>
      <w:r>
        <w:rPr>
          <w:rFonts w:ascii="Arial" w:cs="Arial" w:eastAsia="Arial" w:hAnsi="Arial"/>
          <w:color w:val="1A1A1A"/>
          <w:sz w:val="20"/>
          <w:szCs w:val="20"/>
        </w:rPr>
        <w:t xml:space="preserve">The tool processes only the first sheet of any XLSX file. Multi-sheet source files must have inspection data on sheet 1.</w:t>
      </w:r>
    </w:p>
    <w:p>
      <w:pPr>
        <w:pStyle w:val="ListParagraph"/>
        <w:numPr>
          <w:ilvl w:val="0"/>
          <w:numId w:val="2"/>
        </w:numPr>
        <w:spacing w:after="36" w:before="36"/>
      </w:pPr>
      <w:r>
        <w:rPr>
          <w:rFonts w:ascii="Arial" w:cs="Arial" w:eastAsia="Arial" w:hAnsi="Arial"/>
          <w:color w:val="1A1A1A"/>
          <w:sz w:val="20"/>
          <w:szCs w:val="20"/>
        </w:rPr>
        <w:t xml:space="preserve">Cross-field conditional validation is not implemented (e.g. BladeChamber required when Damage Location = Internal).</w:t>
      </w:r>
    </w:p>
    <w:p>
      <w:pPr>
        <w:pStyle w:val="ListParagraph"/>
        <w:numPr>
          <w:ilvl w:val="0"/>
          <w:numId w:val="2"/>
        </w:numPr>
        <w:spacing w:after="36" w:before="36"/>
      </w:pPr>
      <w:r>
        <w:rPr>
          <w:rFonts w:ascii="Arial" w:cs="Arial" w:eastAsia="Arial" w:hAnsi="Arial"/>
          <w:color w:val="1A1A1A"/>
          <w:sz w:val="20"/>
          <w:szCs w:val="20"/>
        </w:rPr>
        <w:t xml:space="preserve">Duplicate anomaly ID detection is not implemented.</w:t>
      </w:r>
    </w:p>
    <w:p>
      <w:pPr>
        <w:pStyle w:val="ListParagraph"/>
        <w:numPr>
          <w:ilvl w:val="0"/>
          <w:numId w:val="2"/>
        </w:numPr>
        <w:spacing w:after="36" w:before="36"/>
      </w:pPr>
      <w:r>
        <w:rPr>
          <w:rFonts w:ascii="Arial" w:cs="Arial" w:eastAsia="Arial" w:hAnsi="Arial"/>
          <w:color w:val="1A1A1A"/>
          <w:sz w:val="20"/>
          <w:szCs w:val="20"/>
        </w:rPr>
        <w:t xml:space="preserve">Manual Review resolutions are held in browser memory only — they are not persisted across sessions.</w:t>
      </w:r>
    </w:p>
    <w:p>
      <w:pPr>
        <w:spacing w:after="0" w:before="0"/>
      </w:pPr>
      <w:r>
        <w:t xml:space="preserve"/>
      </w:r>
    </w:p>
    <w:p>
      <w:pPr>
        <w:pBdr>
          <w:top w:val="single" w:color="D0D7DE" w:sz="4" w:space="4"/>
        </w:pBdr>
        <w:spacing w:after="0" w:before="240"/>
      </w:pPr>
      <w:r>
        <w:rPr>
          <w:rFonts w:ascii="Arial" w:cs="Arial" w:eastAsia="Arial" w:hAnsi="Arial"/>
          <w:i/>
          <w:iCs/>
          <w:color w:val="4A5568"/>
          <w:sz w:val="16"/>
          <w:szCs w:val="16"/>
        </w:rPr>
        <w:t xml:space="preserve">Anomaly Upload Validator  ·  the organization  ·  Internal Use Only  ·  May 2026</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0D3349"/>
      <w:sz w:val="36"/>
      <w:szCs w:val="36"/>
    </w:rPr>
  </w:style>
  <w:style w:type="paragraph" w:styleId="Heading2">
    <w:name w:val="Heading 2"/>
    <w:basedOn w:val="Normal"/>
    <w:next w:val="Normal"/>
    <w:qFormat/>
    <w:pPr>
      <w:spacing w:after="80" w:before="280"/>
      <w:outlineLvl w:val="1"/>
    </w:pPr>
    <w:rPr>
      <w:rFonts w:ascii="Arial" w:cs="Arial" w:eastAsia="Arial" w:hAnsi="Arial"/>
      <w:b/>
      <w:bCs/>
      <w:color w:val="1B5E8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2026-05-02T08:08:25.798Z</dcterms:created>
  <dcterms:modified xsi:type="dcterms:W3CDTF">2026-05-02T08:08:25.799Z</dcterms:modified>
</cp:coreProperties>
</file>

<file path=docProps/custom.xml><?xml version="1.0" encoding="utf-8"?>
<Properties xmlns="http://schemas.openxmlformats.org/officeDocument/2006/custom-properties" xmlns:vt="http://schemas.openxmlformats.org/officeDocument/2006/docPropsVTypes"/>
</file>